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029FB" w14:textId="77777777" w:rsidR="00022784" w:rsidRDefault="00F4604D">
      <w:r>
        <w:rPr>
          <w:noProof/>
        </w:rPr>
        <w:drawing>
          <wp:anchor distT="0" distB="0" distL="114300" distR="114300" simplePos="0" relativeHeight="251658240" behindDoc="0" locked="0" layoutInCell="1" allowOverlap="1" wp14:anchorId="4AD0110B" wp14:editId="2B2AB24E">
            <wp:simplePos x="0" y="0"/>
            <wp:positionH relativeFrom="column">
              <wp:posOffset>-40005</wp:posOffset>
            </wp:positionH>
            <wp:positionV relativeFrom="page">
              <wp:posOffset>193675</wp:posOffset>
            </wp:positionV>
            <wp:extent cx="1800225" cy="1155065"/>
            <wp:effectExtent l="0" t="0" r="0" b="0"/>
            <wp:wrapNone/>
            <wp:docPr id="1" name="Obrázek 1" descr="logo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155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A7543C" w14:textId="77777777" w:rsidR="00F4604D" w:rsidRDefault="00F4604D"/>
    <w:p w14:paraId="6657314D" w14:textId="77777777" w:rsidR="00F4604D" w:rsidRDefault="00F4604D"/>
    <w:p w14:paraId="3A0B36F5" w14:textId="77777777" w:rsidR="00F4604D" w:rsidRDefault="00F4604D" w:rsidP="00F4604D">
      <w:pPr>
        <w:spacing w:line="360" w:lineRule="auto"/>
        <w:contextualSpacing/>
        <w:jc w:val="both"/>
        <w:rPr>
          <w:b/>
          <w:color w:val="FF0000"/>
          <w:sz w:val="28"/>
          <w:szCs w:val="28"/>
        </w:rPr>
      </w:pPr>
      <w:r>
        <w:rPr>
          <w:noProof/>
        </w:rPr>
        <w:drawing>
          <wp:inline distT="0" distB="0" distL="0" distR="0" wp14:anchorId="200735FA" wp14:editId="4FAE70EA">
            <wp:extent cx="1504950" cy="1014967"/>
            <wp:effectExtent l="0" t="0" r="0" b="0"/>
            <wp:docPr id="2" name="Obrázek 2" descr="nus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usl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486" cy="1018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4822A1" w14:textId="77777777" w:rsidR="00CC6C31" w:rsidRDefault="00CC6C31" w:rsidP="00F4604D">
      <w:pPr>
        <w:spacing w:line="360" w:lineRule="auto"/>
        <w:contextualSpacing/>
        <w:jc w:val="both"/>
        <w:rPr>
          <w:b/>
          <w:color w:val="FF0000"/>
          <w:sz w:val="28"/>
          <w:szCs w:val="28"/>
        </w:rPr>
      </w:pPr>
    </w:p>
    <w:p w14:paraId="79655B38" w14:textId="77777777" w:rsidR="00F4604D" w:rsidRPr="0001439F" w:rsidRDefault="00A7306F" w:rsidP="00F4604D">
      <w:pPr>
        <w:spacing w:line="360" w:lineRule="auto"/>
        <w:contextualSpacing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Zápis z </w:t>
      </w:r>
      <w:r w:rsidR="00F4604D" w:rsidRPr="0001439F">
        <w:rPr>
          <w:b/>
          <w:color w:val="FF0000"/>
          <w:sz w:val="28"/>
          <w:szCs w:val="28"/>
        </w:rPr>
        <w:t>Rad</w:t>
      </w:r>
      <w:r>
        <w:rPr>
          <w:b/>
          <w:color w:val="FF0000"/>
          <w:sz w:val="28"/>
          <w:szCs w:val="28"/>
        </w:rPr>
        <w:t>y</w:t>
      </w:r>
      <w:r w:rsidR="00F4604D" w:rsidRPr="0001439F">
        <w:rPr>
          <w:b/>
          <w:color w:val="FF0000"/>
          <w:sz w:val="28"/>
          <w:szCs w:val="28"/>
        </w:rPr>
        <w:t xml:space="preserve"> pro </w:t>
      </w:r>
      <w:r w:rsidR="00F4604D">
        <w:rPr>
          <w:b/>
          <w:color w:val="FF0000"/>
          <w:sz w:val="28"/>
          <w:szCs w:val="28"/>
        </w:rPr>
        <w:t>vývoj Národního úložiště šedé literatury (NUŠL)</w:t>
      </w:r>
    </w:p>
    <w:p w14:paraId="4069604A" w14:textId="77777777" w:rsidR="003C159F" w:rsidRDefault="009259E2" w:rsidP="00F4604D">
      <w:pPr>
        <w:spacing w:before="120" w:after="120"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3C159F">
        <w:rPr>
          <w:sz w:val="24"/>
          <w:szCs w:val="24"/>
        </w:rPr>
        <w:t xml:space="preserve">. setkání </w:t>
      </w:r>
    </w:p>
    <w:p w14:paraId="259FD4EB" w14:textId="77777777" w:rsidR="00F4604D" w:rsidRPr="00282AC6" w:rsidRDefault="00F4604D" w:rsidP="00F4604D">
      <w:pPr>
        <w:spacing w:before="120" w:after="120" w:line="360" w:lineRule="auto"/>
        <w:contextualSpacing/>
        <w:jc w:val="both"/>
        <w:rPr>
          <w:sz w:val="24"/>
          <w:szCs w:val="24"/>
        </w:rPr>
      </w:pPr>
      <w:r w:rsidRPr="00282AC6">
        <w:rPr>
          <w:sz w:val="24"/>
          <w:szCs w:val="24"/>
        </w:rPr>
        <w:t xml:space="preserve">Datum: </w:t>
      </w:r>
      <w:r w:rsidR="009259E2">
        <w:rPr>
          <w:sz w:val="24"/>
          <w:szCs w:val="24"/>
        </w:rPr>
        <w:t>25</w:t>
      </w:r>
      <w:r w:rsidRPr="00282AC6">
        <w:rPr>
          <w:sz w:val="24"/>
          <w:szCs w:val="24"/>
        </w:rPr>
        <w:t xml:space="preserve">. </w:t>
      </w:r>
      <w:r w:rsidR="005F3619" w:rsidRPr="00282AC6">
        <w:rPr>
          <w:sz w:val="24"/>
          <w:szCs w:val="24"/>
        </w:rPr>
        <w:t>1</w:t>
      </w:r>
      <w:r w:rsidR="009259E2">
        <w:rPr>
          <w:sz w:val="24"/>
          <w:szCs w:val="24"/>
        </w:rPr>
        <w:t>1</w:t>
      </w:r>
      <w:r w:rsidRPr="00282AC6">
        <w:rPr>
          <w:sz w:val="24"/>
          <w:szCs w:val="24"/>
        </w:rPr>
        <w:t>. 201</w:t>
      </w:r>
      <w:r w:rsidR="009259E2">
        <w:rPr>
          <w:sz w:val="24"/>
          <w:szCs w:val="24"/>
        </w:rPr>
        <w:t>4</w:t>
      </w:r>
    </w:p>
    <w:p w14:paraId="7FB813A2" w14:textId="0EB5B987" w:rsidR="00F4604D" w:rsidRPr="00282AC6" w:rsidRDefault="00790200" w:rsidP="00F4604D">
      <w:pPr>
        <w:spacing w:before="120" w:after="120"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Čas: 14.00 – 16.3</w:t>
      </w:r>
      <w:r w:rsidR="00F4604D" w:rsidRPr="00282AC6">
        <w:rPr>
          <w:sz w:val="24"/>
          <w:szCs w:val="24"/>
        </w:rPr>
        <w:t>0</w:t>
      </w:r>
    </w:p>
    <w:p w14:paraId="53D62D01" w14:textId="77777777" w:rsidR="00F4604D" w:rsidRDefault="00F4604D" w:rsidP="00F4604D">
      <w:pPr>
        <w:spacing w:before="120" w:after="120" w:line="360" w:lineRule="auto"/>
        <w:contextualSpacing/>
        <w:jc w:val="both"/>
        <w:rPr>
          <w:sz w:val="24"/>
          <w:szCs w:val="24"/>
        </w:rPr>
      </w:pPr>
      <w:r w:rsidRPr="00282AC6">
        <w:rPr>
          <w:sz w:val="24"/>
          <w:szCs w:val="24"/>
        </w:rPr>
        <w:t xml:space="preserve">Místo: </w:t>
      </w:r>
      <w:r w:rsidR="005F3619" w:rsidRPr="00282AC6">
        <w:rPr>
          <w:sz w:val="24"/>
          <w:szCs w:val="24"/>
        </w:rPr>
        <w:t>Zasedací místnost ředitele</w:t>
      </w:r>
      <w:r w:rsidRPr="00282AC6">
        <w:rPr>
          <w:sz w:val="24"/>
          <w:szCs w:val="24"/>
        </w:rPr>
        <w:t xml:space="preserve"> NTK</w:t>
      </w:r>
    </w:p>
    <w:p w14:paraId="5A8962A4" w14:textId="77777777" w:rsidR="00CC6C31" w:rsidRDefault="00CC6C31" w:rsidP="00F4604D">
      <w:pPr>
        <w:spacing w:before="120" w:after="120" w:line="360" w:lineRule="auto"/>
        <w:contextualSpacing/>
        <w:jc w:val="both"/>
        <w:rPr>
          <w:sz w:val="24"/>
          <w:szCs w:val="24"/>
        </w:rPr>
      </w:pPr>
    </w:p>
    <w:p w14:paraId="639A2144" w14:textId="77777777" w:rsidR="003C159F" w:rsidRDefault="003C159F" w:rsidP="00F4604D">
      <w:pPr>
        <w:spacing w:before="120" w:after="120"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Přítomni</w:t>
      </w:r>
      <w:r w:rsidR="003E630B">
        <w:rPr>
          <w:sz w:val="24"/>
          <w:szCs w:val="24"/>
        </w:rPr>
        <w:t xml:space="preserve"> za NTK</w:t>
      </w:r>
      <w:r>
        <w:rPr>
          <w:sz w:val="24"/>
          <w:szCs w:val="24"/>
        </w:rPr>
        <w:t>:</w:t>
      </w:r>
    </w:p>
    <w:p w14:paraId="2AFB18ED" w14:textId="77777777" w:rsidR="003C159F" w:rsidRDefault="003C159F" w:rsidP="00F4604D">
      <w:pPr>
        <w:spacing w:before="120" w:after="120"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Ing. Martin Svoboda</w:t>
      </w:r>
    </w:p>
    <w:p w14:paraId="7DF81329" w14:textId="77777777" w:rsidR="003C159F" w:rsidRDefault="009259E2" w:rsidP="00F4604D">
      <w:pPr>
        <w:spacing w:before="120" w:after="120"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PhD</w:t>
      </w:r>
      <w:r w:rsidR="009C4F71">
        <w:rPr>
          <w:sz w:val="24"/>
          <w:szCs w:val="24"/>
        </w:rPr>
        <w:t xml:space="preserve">r. </w:t>
      </w:r>
      <w:r>
        <w:rPr>
          <w:sz w:val="24"/>
          <w:szCs w:val="24"/>
        </w:rPr>
        <w:t>Jan Pokorný</w:t>
      </w:r>
      <w:r w:rsidR="009C4F71">
        <w:rPr>
          <w:sz w:val="24"/>
          <w:szCs w:val="24"/>
        </w:rPr>
        <w:t>, Ph.D.</w:t>
      </w:r>
    </w:p>
    <w:p w14:paraId="31040EA5" w14:textId="17411065" w:rsidR="003C159F" w:rsidRDefault="003C159F" w:rsidP="00F4604D">
      <w:pPr>
        <w:spacing w:before="120" w:after="120"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790200">
        <w:rPr>
          <w:sz w:val="24"/>
          <w:szCs w:val="24"/>
        </w:rPr>
        <w:t>h</w:t>
      </w:r>
      <w:r>
        <w:rPr>
          <w:sz w:val="24"/>
          <w:szCs w:val="24"/>
        </w:rPr>
        <w:t>Dr. Petra Pejšová</w:t>
      </w:r>
    </w:p>
    <w:p w14:paraId="03B2A870" w14:textId="77777777" w:rsidR="003C159F" w:rsidRDefault="003C159F" w:rsidP="00F4604D">
      <w:pPr>
        <w:spacing w:before="120" w:after="120"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Mgr. Hana Vyčítalová</w:t>
      </w:r>
    </w:p>
    <w:p w14:paraId="77F471A7" w14:textId="77777777" w:rsidR="003C159F" w:rsidRDefault="003C159F" w:rsidP="00F4604D">
      <w:pPr>
        <w:spacing w:before="120" w:after="120" w:line="360" w:lineRule="auto"/>
        <w:contextualSpacing/>
        <w:jc w:val="both"/>
        <w:rPr>
          <w:sz w:val="24"/>
          <w:szCs w:val="24"/>
        </w:rPr>
      </w:pPr>
    </w:p>
    <w:p w14:paraId="77B910DF" w14:textId="77777777" w:rsidR="003E630B" w:rsidRDefault="003E630B" w:rsidP="00F4604D">
      <w:pPr>
        <w:spacing w:before="120" w:after="120"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Přítomní členové Rady NUŠL:</w:t>
      </w:r>
    </w:p>
    <w:p w14:paraId="11C928EF" w14:textId="77777777" w:rsidR="003E630B" w:rsidRDefault="003E630B" w:rsidP="003E630B">
      <w:pPr>
        <w:spacing w:before="120" w:after="120"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Ing. Jana Hakenová</w:t>
      </w:r>
    </w:p>
    <w:p w14:paraId="6D341E48" w14:textId="77777777" w:rsidR="003E630B" w:rsidRDefault="003E630B" w:rsidP="003E630B">
      <w:pPr>
        <w:spacing w:before="120" w:after="120"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Mgr. Petra Miturová</w:t>
      </w:r>
    </w:p>
    <w:p w14:paraId="037A989C" w14:textId="77777777" w:rsidR="003E630B" w:rsidRDefault="003E630B" w:rsidP="003E630B">
      <w:pPr>
        <w:spacing w:before="120" w:after="120"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PhDr. Václava Horčáková</w:t>
      </w:r>
    </w:p>
    <w:p w14:paraId="113D543E" w14:textId="77777777" w:rsidR="009259E2" w:rsidRPr="0001439F" w:rsidRDefault="009259E2" w:rsidP="009259E2">
      <w:pPr>
        <w:spacing w:before="120" w:after="120" w:line="360" w:lineRule="auto"/>
        <w:contextualSpacing/>
        <w:jc w:val="both"/>
        <w:rPr>
          <w:sz w:val="24"/>
          <w:szCs w:val="24"/>
        </w:rPr>
      </w:pPr>
      <w:r w:rsidRPr="003C159F">
        <w:rPr>
          <w:sz w:val="24"/>
          <w:szCs w:val="24"/>
        </w:rPr>
        <w:t>Prof. Ing. Jitka Moravcová, CSc.</w:t>
      </w:r>
    </w:p>
    <w:p w14:paraId="78D59182" w14:textId="77777777" w:rsidR="003E630B" w:rsidRDefault="003E630B" w:rsidP="003E630B">
      <w:pPr>
        <w:spacing w:before="120" w:after="120"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Ing. Jiří Drozda</w:t>
      </w:r>
    </w:p>
    <w:p w14:paraId="343C10E7" w14:textId="77777777" w:rsidR="009259E2" w:rsidRDefault="009259E2" w:rsidP="009259E2">
      <w:pPr>
        <w:spacing w:before="120" w:after="120"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Ing. Martin Lhoták</w:t>
      </w:r>
    </w:p>
    <w:p w14:paraId="7F613E50" w14:textId="77777777" w:rsidR="009259E2" w:rsidRDefault="009259E2" w:rsidP="009259E2">
      <w:pPr>
        <w:spacing w:before="120" w:after="120"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Ing. Jan Mach</w:t>
      </w:r>
    </w:p>
    <w:p w14:paraId="50A07F71" w14:textId="77777777" w:rsidR="009259E2" w:rsidRDefault="009259E2" w:rsidP="009259E2">
      <w:pPr>
        <w:spacing w:before="120" w:after="120"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Prof. RNDr. Jiří Zlatuška</w:t>
      </w:r>
    </w:p>
    <w:p w14:paraId="3845FFF9" w14:textId="77777777" w:rsidR="009259E2" w:rsidRDefault="009259E2" w:rsidP="009259E2">
      <w:pPr>
        <w:spacing w:before="120" w:after="120"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Doc. RNDr. Karel Oliva</w:t>
      </w:r>
    </w:p>
    <w:p w14:paraId="7079B8D7" w14:textId="77777777" w:rsidR="003E630B" w:rsidRDefault="009259E2" w:rsidP="00F4604D">
      <w:pPr>
        <w:spacing w:before="120" w:after="120"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PhDr. Pavel Baran</w:t>
      </w:r>
      <w:r w:rsidRPr="003C159F">
        <w:rPr>
          <w:sz w:val="24"/>
          <w:szCs w:val="24"/>
        </w:rPr>
        <w:t>, CSc.</w:t>
      </w:r>
    </w:p>
    <w:p w14:paraId="08B4F197" w14:textId="77777777" w:rsidR="004668DA" w:rsidRDefault="004668DA">
      <w:pPr>
        <w:spacing w:after="200" w:line="276" w:lineRule="auto"/>
        <w:rPr>
          <w:b/>
          <w:sz w:val="24"/>
          <w:szCs w:val="24"/>
        </w:rPr>
      </w:pPr>
    </w:p>
    <w:p w14:paraId="20A4ED79" w14:textId="77777777" w:rsidR="00F4604D" w:rsidRPr="0001439F" w:rsidRDefault="00F4604D" w:rsidP="00AD1C7F">
      <w:pPr>
        <w:pStyle w:val="Nadpis1"/>
      </w:pPr>
      <w:r w:rsidRPr="0001439F">
        <w:lastRenderedPageBreak/>
        <w:t>Program zasedání:</w:t>
      </w:r>
    </w:p>
    <w:p w14:paraId="7236F699" w14:textId="77777777" w:rsidR="00F4604D" w:rsidRDefault="009259E2" w:rsidP="009259E2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9259E2">
        <w:rPr>
          <w:sz w:val="24"/>
          <w:szCs w:val="24"/>
        </w:rPr>
        <w:t>Shrnutí vývoje NUŠL v roce 2014</w:t>
      </w:r>
    </w:p>
    <w:p w14:paraId="419F3BE6" w14:textId="77777777" w:rsidR="009259E2" w:rsidRPr="009259E2" w:rsidRDefault="009259E2" w:rsidP="009259E2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9259E2">
        <w:rPr>
          <w:sz w:val="24"/>
          <w:szCs w:val="24"/>
        </w:rPr>
        <w:t>Stav doporučení z prvního jednání Rady NUŠL</w:t>
      </w:r>
    </w:p>
    <w:p w14:paraId="14C9CB30" w14:textId="77777777" w:rsidR="00F4604D" w:rsidRDefault="00A80A2E" w:rsidP="00F4604D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Směr vývoje a </w:t>
      </w:r>
      <w:r w:rsidR="00F4604D" w:rsidRPr="0001439F">
        <w:rPr>
          <w:sz w:val="24"/>
          <w:szCs w:val="24"/>
        </w:rPr>
        <w:t xml:space="preserve">plánované </w:t>
      </w:r>
      <w:r>
        <w:rPr>
          <w:sz w:val="24"/>
          <w:szCs w:val="24"/>
        </w:rPr>
        <w:t>činnosti</w:t>
      </w:r>
      <w:r w:rsidR="00F4604D" w:rsidRPr="0001439F">
        <w:rPr>
          <w:sz w:val="24"/>
          <w:szCs w:val="24"/>
        </w:rPr>
        <w:t xml:space="preserve"> na rok 201</w:t>
      </w:r>
      <w:r w:rsidR="009259E2">
        <w:rPr>
          <w:sz w:val="24"/>
          <w:szCs w:val="24"/>
        </w:rPr>
        <w:t>5</w:t>
      </w:r>
    </w:p>
    <w:p w14:paraId="1C84A1BE" w14:textId="77777777" w:rsidR="00F45099" w:rsidRDefault="00F45099" w:rsidP="00F45099">
      <w:pPr>
        <w:spacing w:line="360" w:lineRule="auto"/>
        <w:ind w:left="720"/>
        <w:contextualSpacing/>
        <w:jc w:val="both"/>
        <w:rPr>
          <w:sz w:val="24"/>
          <w:szCs w:val="24"/>
        </w:rPr>
      </w:pPr>
    </w:p>
    <w:p w14:paraId="273DBD6F" w14:textId="77777777" w:rsidR="00992870" w:rsidRDefault="00992870" w:rsidP="00992870">
      <w:pPr>
        <w:pStyle w:val="Odstavecseseznamem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Vzájemné představení </w:t>
      </w:r>
      <w:r w:rsidR="00324CF9">
        <w:rPr>
          <w:sz w:val="24"/>
          <w:szCs w:val="24"/>
        </w:rPr>
        <w:t xml:space="preserve">přítomných </w:t>
      </w:r>
      <w:r>
        <w:rPr>
          <w:sz w:val="24"/>
          <w:szCs w:val="24"/>
        </w:rPr>
        <w:t>členů RN</w:t>
      </w:r>
      <w:r w:rsidR="008C77F1">
        <w:rPr>
          <w:sz w:val="24"/>
          <w:szCs w:val="24"/>
        </w:rPr>
        <w:t>.</w:t>
      </w:r>
    </w:p>
    <w:p w14:paraId="069902C6" w14:textId="6B67DAE9" w:rsidR="009259E2" w:rsidRDefault="009259E2" w:rsidP="00992870">
      <w:pPr>
        <w:pStyle w:val="Odstavecseseznamem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Řešení afiliace členů, někteří členové Rady NUŠL, zvolení za určitou instituci nebo výbor, už v dané funkci nefigurují</w:t>
      </w:r>
      <w:r w:rsidR="00790200">
        <w:rPr>
          <w:sz w:val="24"/>
          <w:szCs w:val="24"/>
        </w:rPr>
        <w:t>. Závěr: NTK si ujasní stanovy.</w:t>
      </w:r>
    </w:p>
    <w:p w14:paraId="370C294B" w14:textId="77777777" w:rsidR="00C83390" w:rsidRDefault="00C83390" w:rsidP="00992870">
      <w:pPr>
        <w:pStyle w:val="Odstavecseseznamem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Úvodní slovo Ing. Martina Svobody</w:t>
      </w:r>
    </w:p>
    <w:p w14:paraId="6898E109" w14:textId="77777777" w:rsidR="00161A35" w:rsidRDefault="00161A35" w:rsidP="009259E2">
      <w:pPr>
        <w:spacing w:line="360" w:lineRule="auto"/>
        <w:jc w:val="both"/>
        <w:rPr>
          <w:sz w:val="24"/>
          <w:szCs w:val="24"/>
        </w:rPr>
      </w:pPr>
    </w:p>
    <w:p w14:paraId="4BFDF85A" w14:textId="77777777" w:rsidR="009259E2" w:rsidRPr="009259E2" w:rsidRDefault="009259E2" w:rsidP="009259E2">
      <w:pPr>
        <w:spacing w:line="360" w:lineRule="auto"/>
        <w:jc w:val="both"/>
        <w:rPr>
          <w:sz w:val="24"/>
          <w:szCs w:val="24"/>
        </w:rPr>
      </w:pPr>
    </w:p>
    <w:p w14:paraId="692D659E" w14:textId="77777777" w:rsidR="00992870" w:rsidRPr="0039604F" w:rsidRDefault="00992870" w:rsidP="00AD1C7F">
      <w:pPr>
        <w:pStyle w:val="Nadpis1"/>
        <w:numPr>
          <w:ilvl w:val="0"/>
          <w:numId w:val="14"/>
        </w:numPr>
      </w:pPr>
      <w:r w:rsidRPr="0039604F">
        <w:t>Shrnutí současného stavu Nár</w:t>
      </w:r>
      <w:r w:rsidR="00890880" w:rsidRPr="0039604F">
        <w:t>odního úložiště šedé literatury</w:t>
      </w:r>
    </w:p>
    <w:p w14:paraId="0DA03ED6" w14:textId="77777777" w:rsidR="0039604F" w:rsidRDefault="0039604F" w:rsidP="0039604F">
      <w:pPr>
        <w:pStyle w:val="Odstavecseseznamem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Předneseny pouze nejdůležitější body:</w:t>
      </w:r>
    </w:p>
    <w:p w14:paraId="57974273" w14:textId="77777777" w:rsidR="0039604F" w:rsidRDefault="0039604F" w:rsidP="00790200">
      <w:pPr>
        <w:pStyle w:val="Odstavecseseznamem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Začlenění NUŠL do OpenAire</w:t>
      </w:r>
    </w:p>
    <w:p w14:paraId="60DD2425" w14:textId="77777777" w:rsidR="0039604F" w:rsidRDefault="0039604F" w:rsidP="00790200">
      <w:pPr>
        <w:pStyle w:val="Odstavecseseznamem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Google Scholar indexuje NUŠL</w:t>
      </w:r>
    </w:p>
    <w:p w14:paraId="1EC08EA3" w14:textId="77777777" w:rsidR="0039604F" w:rsidRDefault="0039604F" w:rsidP="00790200">
      <w:pPr>
        <w:pStyle w:val="Odstavecseseznamem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Průzkum přidružených publikací</w:t>
      </w:r>
    </w:p>
    <w:p w14:paraId="5C2CCBF8" w14:textId="4FF8BD0D" w:rsidR="0039604F" w:rsidRDefault="0039604F" w:rsidP="00790200">
      <w:pPr>
        <w:pStyle w:val="Odstavecseseznamem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Změna semináře na konferenci, vydání sborníku z konference </w:t>
      </w:r>
      <w:r w:rsidR="00AC66FB">
        <w:rPr>
          <w:sz w:val="24"/>
          <w:szCs w:val="24"/>
        </w:rPr>
        <w:t xml:space="preserve">jako speciální číslo časopisu </w:t>
      </w:r>
      <w:r>
        <w:rPr>
          <w:sz w:val="24"/>
          <w:szCs w:val="24"/>
        </w:rPr>
        <w:t>The Grey Journal</w:t>
      </w:r>
    </w:p>
    <w:p w14:paraId="3D99D13F" w14:textId="77777777" w:rsidR="0039604F" w:rsidRDefault="0039604F" w:rsidP="00790200">
      <w:pPr>
        <w:pStyle w:val="Odstavecseseznamem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Spolupráce s Technologickým centrem AV, NUŠL jako možné úložiště pro výstupy z programu Horizont 2020</w:t>
      </w:r>
    </w:p>
    <w:p w14:paraId="50FD23CB" w14:textId="77777777" w:rsidR="0039604F" w:rsidRDefault="0039604F" w:rsidP="00790200">
      <w:pPr>
        <w:pStyle w:val="Odstavecseseznamem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Příkaz ministra kultury – nová podmínka certifikace metodik – uložení metodik NUŠL – poděkování za spolupráci Mgr. Petře Miturové</w:t>
      </w:r>
    </w:p>
    <w:p w14:paraId="6E713942" w14:textId="08AE97FC" w:rsidR="00790200" w:rsidRPr="00790200" w:rsidRDefault="00790200" w:rsidP="00816DF3">
      <w:pPr>
        <w:pStyle w:val="Odstavecseseznamem"/>
        <w:spacing w:line="360" w:lineRule="auto"/>
        <w:jc w:val="both"/>
        <w:rPr>
          <w:sz w:val="24"/>
          <w:szCs w:val="24"/>
        </w:rPr>
      </w:pPr>
      <w:r w:rsidRPr="00790200">
        <w:rPr>
          <w:sz w:val="24"/>
          <w:szCs w:val="24"/>
        </w:rPr>
        <w:t>Celkové shrnutí viz příloha č.1</w:t>
      </w:r>
    </w:p>
    <w:p w14:paraId="1A530EA5" w14:textId="77777777" w:rsidR="00890880" w:rsidRPr="00890880" w:rsidRDefault="00890880" w:rsidP="00816DF3">
      <w:pPr>
        <w:pStyle w:val="Odstavecseseznamem"/>
        <w:spacing w:line="360" w:lineRule="auto"/>
        <w:jc w:val="both"/>
        <w:rPr>
          <w:b/>
          <w:sz w:val="24"/>
          <w:szCs w:val="24"/>
        </w:rPr>
      </w:pPr>
      <w:r w:rsidRPr="00890880">
        <w:rPr>
          <w:b/>
          <w:sz w:val="24"/>
          <w:szCs w:val="24"/>
        </w:rPr>
        <w:t>Dotazy a připomínky ke shrnutí současného stavu:</w:t>
      </w:r>
    </w:p>
    <w:p w14:paraId="7F6598FE" w14:textId="77777777" w:rsidR="00D706B3" w:rsidRDefault="0039604F" w:rsidP="00F45099">
      <w:pPr>
        <w:pStyle w:val="Odstavecseseznamem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Žádné</w:t>
      </w:r>
    </w:p>
    <w:p w14:paraId="77AB4C4B" w14:textId="77777777" w:rsidR="0039604F" w:rsidRPr="00771626" w:rsidRDefault="0039604F" w:rsidP="00F45099">
      <w:pPr>
        <w:pStyle w:val="Odstavecseseznamem"/>
        <w:spacing w:line="360" w:lineRule="auto"/>
        <w:jc w:val="both"/>
        <w:rPr>
          <w:sz w:val="24"/>
          <w:szCs w:val="24"/>
        </w:rPr>
      </w:pPr>
    </w:p>
    <w:p w14:paraId="019ADB8D" w14:textId="77777777" w:rsidR="003919E3" w:rsidRDefault="00C83390" w:rsidP="00AD1C7F">
      <w:pPr>
        <w:pStyle w:val="Nadpis1"/>
        <w:numPr>
          <w:ilvl w:val="0"/>
          <w:numId w:val="14"/>
        </w:numPr>
      </w:pPr>
      <w:r w:rsidRPr="0039604F">
        <w:lastRenderedPageBreak/>
        <w:t>Stav doporučení z prvního jednání Rady NUŠL</w:t>
      </w:r>
    </w:p>
    <w:p w14:paraId="2CE55EE8" w14:textId="14796B13" w:rsidR="0039604F" w:rsidRDefault="0039604F" w:rsidP="0039604F">
      <w:pPr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Petra Pejšová přednesla seznam doporučení z 1. jednání </w:t>
      </w:r>
      <w:r w:rsidR="00AC66FB">
        <w:rPr>
          <w:sz w:val="24"/>
          <w:szCs w:val="24"/>
        </w:rPr>
        <w:t xml:space="preserve">Rady </w:t>
      </w:r>
      <w:r>
        <w:rPr>
          <w:sz w:val="24"/>
          <w:szCs w:val="24"/>
        </w:rPr>
        <w:t>pro vývoj NUŠL a stav jejich řešení.</w:t>
      </w:r>
    </w:p>
    <w:p w14:paraId="7676A3F9" w14:textId="76A38052" w:rsidR="0039604F" w:rsidRDefault="0039604F" w:rsidP="0039604F">
      <w:pPr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Poděkování Ing. Janě Hakenové za doporučení a spolupráci při získaní dotace MŠMT na uspořádání k</w:t>
      </w:r>
      <w:r w:rsidR="008B4296">
        <w:rPr>
          <w:sz w:val="24"/>
          <w:szCs w:val="24"/>
        </w:rPr>
        <w:t>onference jako mezinárodní akce.</w:t>
      </w:r>
    </w:p>
    <w:p w14:paraId="30A1E1B7" w14:textId="308B25A1" w:rsidR="00AD1C7F" w:rsidRPr="00790200" w:rsidRDefault="00AD1C7F" w:rsidP="00AD1C7F">
      <w:pPr>
        <w:pStyle w:val="Odstavecseseznamem"/>
        <w:spacing w:line="360" w:lineRule="auto"/>
        <w:jc w:val="both"/>
        <w:rPr>
          <w:sz w:val="24"/>
          <w:szCs w:val="24"/>
        </w:rPr>
      </w:pPr>
      <w:r w:rsidRPr="00790200">
        <w:rPr>
          <w:sz w:val="24"/>
          <w:szCs w:val="24"/>
        </w:rPr>
        <w:t>Celkové shrnutí viz příloha č.</w:t>
      </w:r>
      <w:r w:rsidR="00EE7A6E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</w:p>
    <w:p w14:paraId="3435A57D" w14:textId="77777777" w:rsidR="00AD1C7F" w:rsidRDefault="00AD1C7F" w:rsidP="00816DF3">
      <w:pPr>
        <w:pStyle w:val="Odstavecseseznamem"/>
        <w:spacing w:line="360" w:lineRule="auto"/>
        <w:jc w:val="both"/>
        <w:rPr>
          <w:b/>
          <w:sz w:val="24"/>
          <w:szCs w:val="24"/>
        </w:rPr>
      </w:pPr>
    </w:p>
    <w:p w14:paraId="407D8DEB" w14:textId="77777777" w:rsidR="00F45099" w:rsidRPr="00C83390" w:rsidRDefault="00D72F70" w:rsidP="00816DF3">
      <w:pPr>
        <w:pStyle w:val="Odstavecseseznamem"/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Dotazy a připomínky k </w:t>
      </w:r>
      <w:r w:rsidR="009B3A7E" w:rsidRPr="009B3A7E">
        <w:rPr>
          <w:b/>
          <w:sz w:val="24"/>
          <w:szCs w:val="24"/>
        </w:rPr>
        <w:t>doporučením z prvního jednání</w:t>
      </w:r>
      <w:r w:rsidR="00C83390">
        <w:rPr>
          <w:b/>
          <w:sz w:val="24"/>
          <w:szCs w:val="24"/>
        </w:rPr>
        <w:t>:</w:t>
      </w:r>
    </w:p>
    <w:p w14:paraId="2BBA3562" w14:textId="77777777" w:rsidR="00C83390" w:rsidRDefault="007568FF" w:rsidP="00C83390">
      <w:pPr>
        <w:pStyle w:val="Odstavecseseznamem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Ing. Lhoták začal diskusi otázkou, zda došlo k jednání o možné spolupráci NUŠL a grantových agentur. Petra Pejšová uvedla, že grantové agentury byly osloveny s žádostí o spolupráci, ale všechny odmítly z různých důvodů.</w:t>
      </w:r>
    </w:p>
    <w:p w14:paraId="219EAF3E" w14:textId="5E9F439B" w:rsidR="007568FF" w:rsidRDefault="007568FF" w:rsidP="00C83390">
      <w:pPr>
        <w:pStyle w:val="Odstavecseseznamem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Několik členů Rady vyslovilo názor, že by spolupráci nemělo nic bránit a</w:t>
      </w:r>
      <w:r w:rsidR="00024DF5">
        <w:rPr>
          <w:sz w:val="24"/>
          <w:szCs w:val="24"/>
        </w:rPr>
        <w:t> </w:t>
      </w:r>
      <w:r>
        <w:rPr>
          <w:sz w:val="24"/>
          <w:szCs w:val="24"/>
        </w:rPr>
        <w:t>grantové agentury nemají reálný důvod spolupráci odmítat.</w:t>
      </w:r>
    </w:p>
    <w:p w14:paraId="5FB5B1AB" w14:textId="54BBFDBB" w:rsidR="007568FF" w:rsidRDefault="007568FF" w:rsidP="00C83390">
      <w:pPr>
        <w:pStyle w:val="Odstavecseseznamem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Ing. Hakenová uvedla, že např. MŠMT nemá právní podklad pro to, aby mohl</w:t>
      </w:r>
      <w:r w:rsidR="003B694C">
        <w:rPr>
          <w:sz w:val="24"/>
          <w:szCs w:val="24"/>
        </w:rPr>
        <w:t>o</w:t>
      </w:r>
      <w:r>
        <w:rPr>
          <w:sz w:val="24"/>
          <w:szCs w:val="24"/>
        </w:rPr>
        <w:t xml:space="preserve"> příjemcům dotací nařídit způsob zveřejnění závěrečných zpráv z projektů. Pouze je stanoveno, že zpráva musí být zveřejněna. Většinou se tak děje prostřednictvím webových stránek. Časem se však zpráva nebo i celé webové stránky ztrácí a texty už nejsou nikde dostupné.</w:t>
      </w:r>
    </w:p>
    <w:p w14:paraId="586DC649" w14:textId="110D7918" w:rsidR="007568FF" w:rsidRDefault="007568FF" w:rsidP="00C83390">
      <w:pPr>
        <w:pStyle w:val="Odstavecseseznamem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Obdobná situace platí patrně i u ostatních poskytovatelů finanční podpory na vědu a výzkum.</w:t>
      </w:r>
      <w:r w:rsidR="008755F9">
        <w:rPr>
          <w:sz w:val="24"/>
          <w:szCs w:val="24"/>
        </w:rPr>
        <w:t xml:space="preserve"> Zde byla oceněna dlouhodobost</w:t>
      </w:r>
      <w:r w:rsidR="003B694C">
        <w:rPr>
          <w:sz w:val="24"/>
          <w:szCs w:val="24"/>
        </w:rPr>
        <w:t>,</w:t>
      </w:r>
      <w:r w:rsidR="008755F9">
        <w:rPr>
          <w:sz w:val="24"/>
          <w:szCs w:val="24"/>
        </w:rPr>
        <w:t xml:space="preserve"> uložení a</w:t>
      </w:r>
      <w:r w:rsidR="00AC66FB">
        <w:rPr>
          <w:sz w:val="24"/>
          <w:szCs w:val="24"/>
        </w:rPr>
        <w:t> </w:t>
      </w:r>
      <w:r w:rsidR="008755F9">
        <w:rPr>
          <w:sz w:val="24"/>
          <w:szCs w:val="24"/>
        </w:rPr>
        <w:t>zpřístupnění závěrečných zpráv v NUŠL.</w:t>
      </w:r>
    </w:p>
    <w:p w14:paraId="065CBE35" w14:textId="5CE8E730" w:rsidR="0039604F" w:rsidRDefault="007568FF" w:rsidP="00C83390">
      <w:pPr>
        <w:pStyle w:val="Odstavecseseznamem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Docent Oliva vyslovil </w:t>
      </w:r>
      <w:r w:rsidR="00EE7A6E">
        <w:rPr>
          <w:sz w:val="24"/>
          <w:szCs w:val="24"/>
        </w:rPr>
        <w:t>dotaz</w:t>
      </w:r>
      <w:r>
        <w:rPr>
          <w:sz w:val="24"/>
          <w:szCs w:val="24"/>
        </w:rPr>
        <w:t xml:space="preserve">, zda projektové zprávy jsou natolik kvalitním vědeckým výstupem, aby mělo význam je trvale uchovávat. Domnívá se, že jsou to hlavně popisné zprávy bez skutečných </w:t>
      </w:r>
      <w:r w:rsidR="00EE7A6E">
        <w:rPr>
          <w:sz w:val="24"/>
          <w:szCs w:val="24"/>
        </w:rPr>
        <w:t xml:space="preserve">vědeckých </w:t>
      </w:r>
      <w:r>
        <w:rPr>
          <w:sz w:val="24"/>
          <w:szCs w:val="24"/>
        </w:rPr>
        <w:t>výstupů.</w:t>
      </w:r>
    </w:p>
    <w:p w14:paraId="2EF9A902" w14:textId="77777777" w:rsidR="00787FA1" w:rsidRDefault="00787FA1" w:rsidP="00C83390">
      <w:pPr>
        <w:pStyle w:val="Odstavecseseznamem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Řešila se i otázka finanční části zprávy, zda má být veřejná, či ne. I toto byl jeden důvod, proč grantové agentury odmítali zveřejnění zpráv v NUŠL, bylo by náročné vyjímat ze zpráv pouze plně zveřejnitelnou část. Názor Rady je takový, že i finanční popis projektu by měl být zveřejněný, protože se jedná o veřejné finance.</w:t>
      </w:r>
    </w:p>
    <w:p w14:paraId="3AD57C95" w14:textId="6DFA0A0E" w:rsidR="007568FF" w:rsidRDefault="007568FF" w:rsidP="00787FA1">
      <w:pPr>
        <w:pStyle w:val="Odstavecseseznamem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Většina diskutujících se shodla na tom, že projektové zprávy jsou různorodé, ale vždy ob</w:t>
      </w:r>
      <w:r w:rsidR="00EE7A6E">
        <w:rPr>
          <w:sz w:val="24"/>
          <w:szCs w:val="24"/>
        </w:rPr>
        <w:t>s</w:t>
      </w:r>
      <w:r>
        <w:rPr>
          <w:sz w:val="24"/>
          <w:szCs w:val="24"/>
        </w:rPr>
        <w:t xml:space="preserve">ahují věcnou část, která popisuje výsledky výzkumu a odkazuje na další podrobné výstupy (články). </w:t>
      </w:r>
      <w:r w:rsidR="00787FA1">
        <w:rPr>
          <w:sz w:val="24"/>
          <w:szCs w:val="24"/>
        </w:rPr>
        <w:t xml:space="preserve">Měly by být dostupné trvale a na jednom místě. </w:t>
      </w:r>
      <w:r w:rsidRPr="00787FA1">
        <w:rPr>
          <w:sz w:val="24"/>
          <w:szCs w:val="24"/>
        </w:rPr>
        <w:t>Má tedy smysl snažit se je pro NUŠL získat.</w:t>
      </w:r>
      <w:r w:rsidR="00787FA1" w:rsidRPr="00787FA1">
        <w:rPr>
          <w:sz w:val="24"/>
          <w:szCs w:val="24"/>
        </w:rPr>
        <w:t xml:space="preserve"> </w:t>
      </w:r>
      <w:r w:rsidR="004D32F4">
        <w:rPr>
          <w:sz w:val="24"/>
          <w:szCs w:val="24"/>
        </w:rPr>
        <w:t>RIV by pak mohl obsahovat odkazy na plné texty výstupů z výzkumu do NUŠL.</w:t>
      </w:r>
    </w:p>
    <w:p w14:paraId="75D6F7DE" w14:textId="0943BC81" w:rsidR="00936A11" w:rsidRDefault="00936A11" w:rsidP="00787FA1">
      <w:pPr>
        <w:pStyle w:val="Odstavecseseznamem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Praxe na MŠMT nedovoluje upřednostňovat pro uložení jeden konkrétní repozitář. Zároveň neexistuje právní důvod, který by zajistil, aby se tato povinnost dostala do zadávací dokumentace.</w:t>
      </w:r>
    </w:p>
    <w:p w14:paraId="2B192537" w14:textId="05D7B333" w:rsidR="00787FA1" w:rsidRDefault="00355F5B" w:rsidP="00787FA1">
      <w:pPr>
        <w:pStyle w:val="Odstavecseseznamem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V diskusi</w:t>
      </w:r>
      <w:r w:rsidR="00787FA1">
        <w:rPr>
          <w:sz w:val="24"/>
          <w:szCs w:val="24"/>
        </w:rPr>
        <w:t>, jak dosáhnout větší spolupráce NUŠL s poskytovateli i příjemci dotací – padlo více návrhů:</w:t>
      </w:r>
    </w:p>
    <w:p w14:paraId="7EB57496" w14:textId="71F625A1" w:rsidR="00787FA1" w:rsidRPr="00816DF3" w:rsidRDefault="00787FA1" w:rsidP="00816DF3">
      <w:pPr>
        <w:pStyle w:val="Odstavecseseznamem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816DF3">
        <w:rPr>
          <w:sz w:val="24"/>
          <w:szCs w:val="24"/>
        </w:rPr>
        <w:t>Rada pro výzkum, vývoj a inovace – mohla by vydat doporučení, aby zprávy byly trvale dostupné a tato povinnost byla zakomponována do smluv s příjemci dotací</w:t>
      </w:r>
      <w:r w:rsidR="00355F5B">
        <w:rPr>
          <w:sz w:val="24"/>
          <w:szCs w:val="24"/>
        </w:rPr>
        <w:t>.</w:t>
      </w:r>
    </w:p>
    <w:p w14:paraId="124694E2" w14:textId="4CEB423E" w:rsidR="00787FA1" w:rsidRPr="00816DF3" w:rsidRDefault="00787FA1" w:rsidP="00816DF3">
      <w:pPr>
        <w:pStyle w:val="Odstavecseseznamem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816DF3">
        <w:rPr>
          <w:sz w:val="24"/>
          <w:szCs w:val="24"/>
        </w:rPr>
        <w:t xml:space="preserve">Zkusit </w:t>
      </w:r>
      <w:r w:rsidR="00355F5B">
        <w:rPr>
          <w:sz w:val="24"/>
          <w:szCs w:val="24"/>
        </w:rPr>
        <w:t>podat návrh na změnu v</w:t>
      </w:r>
      <w:r w:rsidRPr="00816DF3">
        <w:rPr>
          <w:sz w:val="24"/>
          <w:szCs w:val="24"/>
        </w:rPr>
        <w:t xml:space="preserve"> zákon</w:t>
      </w:r>
      <w:r w:rsidR="00355F5B">
        <w:rPr>
          <w:sz w:val="24"/>
          <w:szCs w:val="24"/>
        </w:rPr>
        <w:t>ě</w:t>
      </w:r>
      <w:r w:rsidRPr="00816DF3">
        <w:rPr>
          <w:sz w:val="24"/>
          <w:szCs w:val="24"/>
        </w:rPr>
        <w:t xml:space="preserve"> </w:t>
      </w:r>
      <w:r w:rsidR="00421CB4">
        <w:rPr>
          <w:sz w:val="24"/>
          <w:szCs w:val="24"/>
        </w:rPr>
        <w:t xml:space="preserve">č. </w:t>
      </w:r>
      <w:r w:rsidRPr="00816DF3">
        <w:rPr>
          <w:sz w:val="24"/>
          <w:szCs w:val="24"/>
        </w:rPr>
        <w:t>130</w:t>
      </w:r>
      <w:r w:rsidR="00421CB4">
        <w:rPr>
          <w:sz w:val="24"/>
          <w:szCs w:val="24"/>
        </w:rPr>
        <w:t>/2002 Sb. O</w:t>
      </w:r>
      <w:r w:rsidR="00AC66FB">
        <w:rPr>
          <w:sz w:val="24"/>
          <w:szCs w:val="24"/>
        </w:rPr>
        <w:t> </w:t>
      </w:r>
      <w:r w:rsidR="00421CB4">
        <w:rPr>
          <w:sz w:val="24"/>
          <w:szCs w:val="24"/>
        </w:rPr>
        <w:t>podpoře výzkumu a vývoje</w:t>
      </w:r>
      <w:r w:rsidR="00355F5B">
        <w:rPr>
          <w:sz w:val="24"/>
          <w:szCs w:val="24"/>
        </w:rPr>
        <w:t>.</w:t>
      </w:r>
    </w:p>
    <w:p w14:paraId="38CA5547" w14:textId="0FD4719B" w:rsidR="00787FA1" w:rsidRDefault="00787FA1" w:rsidP="00816DF3">
      <w:pPr>
        <w:pStyle w:val="Odstavecseseznamem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816DF3">
        <w:rPr>
          <w:sz w:val="24"/>
          <w:szCs w:val="24"/>
        </w:rPr>
        <w:t>Spolupracovat s</w:t>
      </w:r>
      <w:r w:rsidR="00ED4159">
        <w:rPr>
          <w:sz w:val="24"/>
          <w:szCs w:val="24"/>
        </w:rPr>
        <w:t xml:space="preserve"> Technologickým centrem AV ČR, které je </w:t>
      </w:r>
      <w:r w:rsidR="00AC66FB">
        <w:rPr>
          <w:sz w:val="24"/>
          <w:szCs w:val="24"/>
        </w:rPr>
        <w:t>n</w:t>
      </w:r>
      <w:r w:rsidR="00AC66FB" w:rsidRPr="00816DF3">
        <w:rPr>
          <w:sz w:val="24"/>
          <w:szCs w:val="24"/>
        </w:rPr>
        <w:t xml:space="preserve">árodním </w:t>
      </w:r>
      <w:r w:rsidRPr="00816DF3">
        <w:rPr>
          <w:sz w:val="24"/>
          <w:szCs w:val="24"/>
        </w:rPr>
        <w:t xml:space="preserve">kontaktním bodem pro OA a pracovní skupinou </w:t>
      </w:r>
      <w:r w:rsidRPr="00ED4159">
        <w:rPr>
          <w:sz w:val="24"/>
          <w:szCs w:val="24"/>
        </w:rPr>
        <w:t>Úřadu vlády</w:t>
      </w:r>
      <w:r w:rsidRPr="00816DF3">
        <w:rPr>
          <w:sz w:val="24"/>
          <w:szCs w:val="24"/>
        </w:rPr>
        <w:t xml:space="preserve"> pro OA</w:t>
      </w:r>
      <w:r w:rsidR="00355F5B">
        <w:rPr>
          <w:sz w:val="24"/>
          <w:szCs w:val="24"/>
        </w:rPr>
        <w:t>.</w:t>
      </w:r>
    </w:p>
    <w:p w14:paraId="4EA24C09" w14:textId="704FBF7A" w:rsidR="00936A11" w:rsidRDefault="00936A11" w:rsidP="00816DF3">
      <w:pPr>
        <w:pStyle w:val="Odstavecseseznamem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Systémová opatření napříč institucemi.</w:t>
      </w:r>
    </w:p>
    <w:p w14:paraId="672778BC" w14:textId="3AD8AEB8" w:rsidR="00936A11" w:rsidRPr="00816DF3" w:rsidRDefault="00936A11" w:rsidP="00816DF3">
      <w:pPr>
        <w:pStyle w:val="Odstavecseseznamem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Přimět poskytovatele, aby se tím zabývali a začali s NUŠL spolupracovat.</w:t>
      </w:r>
    </w:p>
    <w:p w14:paraId="453660F4" w14:textId="77777777" w:rsidR="00787FA1" w:rsidRPr="00816DF3" w:rsidRDefault="00787FA1" w:rsidP="00816DF3">
      <w:pPr>
        <w:pStyle w:val="Odstavecseseznamem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816DF3">
        <w:rPr>
          <w:sz w:val="24"/>
          <w:szCs w:val="24"/>
        </w:rPr>
        <w:t>Ing. Lhoták navrhuje, aby se NUŠL pokusil získat další certifikaci trvalého úložiště (např. DSA), Ing. Svoboda reagoval, že by šlo využít spolupráce s CESNETem, chtějí také certifikaci řešit</w:t>
      </w:r>
    </w:p>
    <w:p w14:paraId="52325A83" w14:textId="5FAE4D8E" w:rsidR="00787FA1" w:rsidRPr="00C83390" w:rsidRDefault="00355F5B" w:rsidP="00C83390">
      <w:pPr>
        <w:pStyle w:val="Odstavecseseznamem"/>
        <w:spacing w:line="360" w:lineRule="auto"/>
        <w:jc w:val="both"/>
        <w:rPr>
          <w:sz w:val="24"/>
          <w:szCs w:val="24"/>
        </w:rPr>
      </w:pPr>
      <w:r w:rsidRPr="007343D2">
        <w:rPr>
          <w:b/>
          <w:sz w:val="24"/>
          <w:szCs w:val="24"/>
        </w:rPr>
        <w:t>Závěr:</w:t>
      </w:r>
      <w:r w:rsidRPr="00123412">
        <w:rPr>
          <w:sz w:val="24"/>
          <w:szCs w:val="24"/>
        </w:rPr>
        <w:t xml:space="preserve"> </w:t>
      </w:r>
      <w:r w:rsidR="00936A11" w:rsidRPr="00123412">
        <w:rPr>
          <w:sz w:val="24"/>
          <w:szCs w:val="24"/>
        </w:rPr>
        <w:t xml:space="preserve">NTK se spojí s </w:t>
      </w:r>
      <w:r w:rsidR="00AC66FB">
        <w:rPr>
          <w:sz w:val="24"/>
          <w:szCs w:val="24"/>
        </w:rPr>
        <w:t>n</w:t>
      </w:r>
      <w:r w:rsidR="00AC66FB" w:rsidRPr="00123412">
        <w:rPr>
          <w:sz w:val="24"/>
          <w:szCs w:val="24"/>
        </w:rPr>
        <w:t xml:space="preserve">árodním </w:t>
      </w:r>
      <w:r w:rsidR="00936A11" w:rsidRPr="00123412">
        <w:rPr>
          <w:sz w:val="24"/>
          <w:szCs w:val="24"/>
        </w:rPr>
        <w:t>kontaktním bodem pro OA</w:t>
      </w:r>
      <w:r w:rsidR="00ED4159" w:rsidRPr="00123412">
        <w:rPr>
          <w:sz w:val="24"/>
          <w:szCs w:val="24"/>
        </w:rPr>
        <w:t>, dále</w:t>
      </w:r>
      <w:r w:rsidR="00936A11" w:rsidRPr="00123412">
        <w:rPr>
          <w:sz w:val="24"/>
          <w:szCs w:val="24"/>
        </w:rPr>
        <w:t xml:space="preserve"> řešiteli projektu </w:t>
      </w:r>
      <w:r w:rsidR="00C20B6F" w:rsidRPr="00123412">
        <w:rPr>
          <w:sz w:val="24"/>
          <w:szCs w:val="24"/>
        </w:rPr>
        <w:t> „Efektivní systém hodnocení a financování výzkumu, vývoje a</w:t>
      </w:r>
      <w:r w:rsidR="00024DF5">
        <w:rPr>
          <w:sz w:val="24"/>
          <w:szCs w:val="24"/>
        </w:rPr>
        <w:t> </w:t>
      </w:r>
      <w:r w:rsidR="00C20B6F" w:rsidRPr="00123412">
        <w:rPr>
          <w:sz w:val="24"/>
          <w:szCs w:val="24"/>
        </w:rPr>
        <w:t>inovací“</w:t>
      </w:r>
      <w:r w:rsidR="00ED4159" w:rsidRPr="00123412">
        <w:rPr>
          <w:sz w:val="24"/>
          <w:szCs w:val="24"/>
        </w:rPr>
        <w:t xml:space="preserve"> a s Odborem Rady pro výzkum, vývoj a</w:t>
      </w:r>
      <w:r w:rsidR="00AC66FB">
        <w:rPr>
          <w:sz w:val="24"/>
          <w:szCs w:val="24"/>
        </w:rPr>
        <w:t> </w:t>
      </w:r>
      <w:r w:rsidR="00ED4159" w:rsidRPr="00123412">
        <w:rPr>
          <w:sz w:val="24"/>
          <w:szCs w:val="24"/>
        </w:rPr>
        <w:t>inovace na Úřadu vlády</w:t>
      </w:r>
      <w:r w:rsidR="00123412">
        <w:rPr>
          <w:sz w:val="24"/>
          <w:szCs w:val="24"/>
        </w:rPr>
        <w:t>.</w:t>
      </w:r>
      <w:r w:rsidR="00ED4159">
        <w:rPr>
          <w:sz w:val="24"/>
          <w:szCs w:val="24"/>
        </w:rPr>
        <w:t xml:space="preserve">  </w:t>
      </w:r>
    </w:p>
    <w:p w14:paraId="70C746AD" w14:textId="77777777" w:rsidR="00C83390" w:rsidRPr="00816DF3" w:rsidRDefault="00C83390" w:rsidP="00AD1C7F">
      <w:pPr>
        <w:pStyle w:val="Nadpis1"/>
        <w:numPr>
          <w:ilvl w:val="0"/>
          <w:numId w:val="14"/>
        </w:numPr>
      </w:pPr>
      <w:r w:rsidRPr="00816DF3">
        <w:lastRenderedPageBreak/>
        <w:t>Směr vývoje a plánované činnosti na rok 2015</w:t>
      </w:r>
    </w:p>
    <w:p w14:paraId="27EF5B0D" w14:textId="77777777" w:rsidR="00816DF3" w:rsidRDefault="00816DF3" w:rsidP="00816DF3">
      <w:pPr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Prodiskutované body:</w:t>
      </w:r>
    </w:p>
    <w:p w14:paraId="2484D379" w14:textId="77777777" w:rsidR="00816DF3" w:rsidRPr="00816DF3" w:rsidRDefault="00816DF3" w:rsidP="000E5A04">
      <w:pPr>
        <w:pStyle w:val="Nadpis2"/>
        <w:ind w:left="720"/>
      </w:pPr>
      <w:r w:rsidRPr="00816DF3">
        <w:t>Větší otevřenost úložiště NUŠL pro fyzické osoby</w:t>
      </w:r>
    </w:p>
    <w:p w14:paraId="3F6B3646" w14:textId="77777777" w:rsidR="003D7663" w:rsidRDefault="003D7663" w:rsidP="000E5A04">
      <w:pPr>
        <w:spacing w:line="360" w:lineRule="auto"/>
        <w:ind w:left="720"/>
        <w:jc w:val="both"/>
        <w:rPr>
          <w:sz w:val="24"/>
          <w:szCs w:val="24"/>
        </w:rPr>
      </w:pPr>
    </w:p>
    <w:p w14:paraId="16B182F4" w14:textId="4CDCEA10" w:rsidR="00816DF3" w:rsidRDefault="00816DF3" w:rsidP="000E5A04">
      <w:pPr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Prozatím NUŠL spolupracuje především s institucemi, fyzické osoby jsou výjimkou. V poslední době se objevilo více zájmu o NUŠL jako úložiště pro fyzické osoby. Dosavadní postup (licenční smlouva + seznam děl, které chce autor vložit do NUŠL +</w:t>
      </w:r>
      <w:r w:rsidR="00654087">
        <w:rPr>
          <w:sz w:val="24"/>
          <w:szCs w:val="24"/>
        </w:rPr>
        <w:t xml:space="preserve"> </w:t>
      </w:r>
      <w:r>
        <w:rPr>
          <w:sz w:val="24"/>
          <w:szCs w:val="24"/>
        </w:rPr>
        <w:t>ověření těchto děl a jejich nezávadnosti) je poměrně náročný.</w:t>
      </w:r>
    </w:p>
    <w:p w14:paraId="32F994BF" w14:textId="6D47DCFF" w:rsidR="00816DF3" w:rsidRDefault="00816DF3" w:rsidP="000E5A04">
      <w:pPr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Právníci navrhli 3 varianty, jak postup zjednodušit.</w:t>
      </w:r>
    </w:p>
    <w:p w14:paraId="2BCC2F84" w14:textId="49984490" w:rsidR="00816DF3" w:rsidRDefault="007343D2" w:rsidP="000E5A04">
      <w:pPr>
        <w:spacing w:line="360" w:lineRule="auto"/>
        <w:ind w:left="720"/>
        <w:jc w:val="both"/>
        <w:rPr>
          <w:sz w:val="24"/>
          <w:szCs w:val="24"/>
        </w:rPr>
      </w:pPr>
      <w:r w:rsidRPr="007343D2">
        <w:rPr>
          <w:b/>
          <w:sz w:val="24"/>
          <w:szCs w:val="24"/>
        </w:rPr>
        <w:t>Závěr:</w:t>
      </w:r>
      <w:r>
        <w:rPr>
          <w:sz w:val="24"/>
          <w:szCs w:val="24"/>
        </w:rPr>
        <w:t xml:space="preserve"> Doporučení</w:t>
      </w:r>
      <w:r w:rsidR="00816DF3">
        <w:rPr>
          <w:sz w:val="24"/>
          <w:szCs w:val="24"/>
        </w:rPr>
        <w:t xml:space="preserve"> otevřít re</w:t>
      </w:r>
      <w:r>
        <w:rPr>
          <w:sz w:val="24"/>
          <w:szCs w:val="24"/>
        </w:rPr>
        <w:t>pozitář jako volné úložiště děl a</w:t>
      </w:r>
      <w:r w:rsidR="00816DF3">
        <w:rPr>
          <w:sz w:val="24"/>
          <w:szCs w:val="24"/>
        </w:rPr>
        <w:t xml:space="preserve"> ověřovat vkladatele</w:t>
      </w:r>
      <w:r>
        <w:rPr>
          <w:sz w:val="24"/>
          <w:szCs w:val="24"/>
        </w:rPr>
        <w:t xml:space="preserve"> při registraci.</w:t>
      </w:r>
      <w:r w:rsidR="00816DF3">
        <w:rPr>
          <w:sz w:val="24"/>
          <w:szCs w:val="24"/>
        </w:rPr>
        <w:t xml:space="preserve"> NTK by </w:t>
      </w:r>
      <w:r>
        <w:rPr>
          <w:sz w:val="24"/>
          <w:szCs w:val="24"/>
        </w:rPr>
        <w:t xml:space="preserve">takto </w:t>
      </w:r>
      <w:r w:rsidR="00816DF3">
        <w:rPr>
          <w:sz w:val="24"/>
          <w:szCs w:val="24"/>
        </w:rPr>
        <w:t xml:space="preserve">nenesla </w:t>
      </w:r>
      <w:r>
        <w:rPr>
          <w:sz w:val="24"/>
          <w:szCs w:val="24"/>
        </w:rPr>
        <w:t xml:space="preserve">zodpovědnost </w:t>
      </w:r>
      <w:r w:rsidR="00816DF3">
        <w:rPr>
          <w:sz w:val="24"/>
          <w:szCs w:val="24"/>
        </w:rPr>
        <w:t xml:space="preserve">za uložení </w:t>
      </w:r>
      <w:r w:rsidR="00AC66FB">
        <w:rPr>
          <w:sz w:val="24"/>
          <w:szCs w:val="24"/>
        </w:rPr>
        <w:t xml:space="preserve">a </w:t>
      </w:r>
      <w:r w:rsidR="000725EB">
        <w:rPr>
          <w:sz w:val="24"/>
          <w:szCs w:val="24"/>
        </w:rPr>
        <w:t>zpřístupně</w:t>
      </w:r>
      <w:r w:rsidR="000725EB">
        <w:rPr>
          <w:sz w:val="24"/>
          <w:szCs w:val="24"/>
        </w:rPr>
        <w:t xml:space="preserve">ní </w:t>
      </w:r>
      <w:r w:rsidR="00816DF3">
        <w:rPr>
          <w:sz w:val="24"/>
          <w:szCs w:val="24"/>
        </w:rPr>
        <w:t>děl.</w:t>
      </w:r>
    </w:p>
    <w:p w14:paraId="174E109A" w14:textId="77777777" w:rsidR="007343D2" w:rsidRDefault="007343D2" w:rsidP="000E5A04">
      <w:pPr>
        <w:spacing w:line="360" w:lineRule="auto"/>
        <w:ind w:left="720"/>
        <w:jc w:val="both"/>
        <w:rPr>
          <w:sz w:val="24"/>
          <w:szCs w:val="24"/>
        </w:rPr>
      </w:pPr>
    </w:p>
    <w:p w14:paraId="7E54BF6B" w14:textId="77777777" w:rsidR="00816DF3" w:rsidRDefault="00816DF3" w:rsidP="000E5A04">
      <w:pPr>
        <w:pStyle w:val="Nadpis2"/>
        <w:ind w:left="720"/>
      </w:pPr>
      <w:r w:rsidRPr="00AC131C">
        <w:t>Vystavení veřejné licence na metadata NUŠL</w:t>
      </w:r>
    </w:p>
    <w:p w14:paraId="01CBE102" w14:textId="77777777" w:rsidR="00AC131C" w:rsidRPr="00AC131C" w:rsidRDefault="00AC131C" w:rsidP="000E5A04"/>
    <w:p w14:paraId="144068A1" w14:textId="77777777" w:rsidR="00816DF3" w:rsidRDefault="00816DF3" w:rsidP="000E5A04">
      <w:pPr>
        <w:spacing w:line="360" w:lineRule="auto"/>
        <w:ind w:left="774"/>
        <w:jc w:val="both"/>
        <w:rPr>
          <w:sz w:val="24"/>
          <w:szCs w:val="24"/>
        </w:rPr>
      </w:pPr>
      <w:r>
        <w:rPr>
          <w:sz w:val="24"/>
          <w:szCs w:val="24"/>
        </w:rPr>
        <w:t>Tato licence by opravňovala užívat metadata v NUŠL všem zájemcům za stejných podmínek, nemusela by se posuzovat a vyřizovat každá žádost zvlášť. Jednalo by se o nekomerční užití. Tím by se vyloučilo např. užití metadat Discovery systémy.</w:t>
      </w:r>
    </w:p>
    <w:p w14:paraId="05FAAC9A" w14:textId="31235BFF" w:rsidR="00816DF3" w:rsidRDefault="00816DF3" w:rsidP="000E5A04">
      <w:pPr>
        <w:spacing w:line="360" w:lineRule="auto"/>
        <w:ind w:left="7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Ing. Lhoták </w:t>
      </w:r>
      <w:r w:rsidR="003B694C">
        <w:rPr>
          <w:sz w:val="24"/>
          <w:szCs w:val="24"/>
        </w:rPr>
        <w:t>n</w:t>
      </w:r>
      <w:r>
        <w:rPr>
          <w:sz w:val="24"/>
          <w:szCs w:val="24"/>
        </w:rPr>
        <w:t>avrhl poskytovat metadata i Discovery systémům, užitek pro firmy vyvíjející discovery systémy je podle něj zanedbatelný, ale dojde k většímu šíření povědomí o NUŠL, větší zájem o dokumenty v NUŠL.</w:t>
      </w:r>
    </w:p>
    <w:p w14:paraId="7CBC47B0" w14:textId="718B2EE3" w:rsidR="00816DF3" w:rsidRDefault="00816DF3" w:rsidP="000E5A04">
      <w:pPr>
        <w:spacing w:line="360" w:lineRule="auto"/>
        <w:ind w:left="774"/>
        <w:jc w:val="both"/>
        <w:rPr>
          <w:sz w:val="24"/>
          <w:szCs w:val="24"/>
        </w:rPr>
      </w:pPr>
      <w:r>
        <w:rPr>
          <w:sz w:val="24"/>
          <w:szCs w:val="24"/>
        </w:rPr>
        <w:t>Petra Pejšová uvedla, že toto není možné kvůli znění licenčních smluv, které NTK uzavírá s poskytovateli dat a dokumentů, které povolují šířit i</w:t>
      </w:r>
      <w:r w:rsidR="00AC66FB">
        <w:rPr>
          <w:sz w:val="24"/>
          <w:szCs w:val="24"/>
        </w:rPr>
        <w:t> </w:t>
      </w:r>
      <w:r>
        <w:rPr>
          <w:sz w:val="24"/>
          <w:szCs w:val="24"/>
        </w:rPr>
        <w:t>metadata pouze za podmínky nekomerčního užití.</w:t>
      </w:r>
    </w:p>
    <w:p w14:paraId="5E173088" w14:textId="69E085D9" w:rsidR="00816DF3" w:rsidRDefault="00816DF3" w:rsidP="000E5A04">
      <w:pPr>
        <w:spacing w:line="360" w:lineRule="auto"/>
        <w:ind w:left="774"/>
        <w:jc w:val="both"/>
        <w:rPr>
          <w:sz w:val="24"/>
          <w:szCs w:val="24"/>
        </w:rPr>
      </w:pPr>
      <w:r>
        <w:rPr>
          <w:sz w:val="24"/>
          <w:szCs w:val="24"/>
        </w:rPr>
        <w:t>Ing. Svoboda uvedl, že je v zájmu NUŠL, aby byla data poskytnuta i</w:t>
      </w:r>
      <w:r w:rsidR="00024DF5">
        <w:rPr>
          <w:sz w:val="24"/>
          <w:szCs w:val="24"/>
        </w:rPr>
        <w:t> </w:t>
      </w:r>
      <w:r>
        <w:rPr>
          <w:sz w:val="24"/>
          <w:szCs w:val="24"/>
        </w:rPr>
        <w:t>discovery systémům.</w:t>
      </w:r>
    </w:p>
    <w:p w14:paraId="3AADCC84" w14:textId="77777777" w:rsidR="00816DF3" w:rsidRDefault="00970613" w:rsidP="000E5A04">
      <w:pPr>
        <w:spacing w:line="360" w:lineRule="auto"/>
        <w:ind w:left="774"/>
        <w:jc w:val="both"/>
        <w:rPr>
          <w:sz w:val="24"/>
          <w:szCs w:val="24"/>
        </w:rPr>
      </w:pPr>
      <w:r>
        <w:rPr>
          <w:sz w:val="24"/>
          <w:szCs w:val="24"/>
        </w:rPr>
        <w:t>Ing. Lhoták navrhl uzavřít s poskytovateli dat dovětek ke smlouvě, který by přesně definoval komerční a nekomerční užití a opravňoval NUŠL k předávání dat i discovery systémům.</w:t>
      </w:r>
    </w:p>
    <w:p w14:paraId="2E01AC5E" w14:textId="1206C183" w:rsidR="00A37E94" w:rsidRDefault="00A37E94" w:rsidP="000E5A04">
      <w:pPr>
        <w:spacing w:line="360" w:lineRule="auto"/>
        <w:ind w:left="77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Uzavírání dodatků se 120 institucemi by bylo náročné a ne všechny by souhlasily. Metadata by se pak musely dělit na ty, které lze využít komerčně, a které ne.</w:t>
      </w:r>
    </w:p>
    <w:p w14:paraId="55A9DE00" w14:textId="58789862" w:rsidR="00A37E94" w:rsidRDefault="00A37E94" w:rsidP="000E5A04">
      <w:pPr>
        <w:spacing w:line="360" w:lineRule="auto"/>
        <w:ind w:left="774"/>
        <w:jc w:val="both"/>
        <w:rPr>
          <w:sz w:val="24"/>
          <w:szCs w:val="24"/>
        </w:rPr>
      </w:pPr>
      <w:r w:rsidRPr="00A37E94">
        <w:rPr>
          <w:b/>
          <w:sz w:val="24"/>
          <w:szCs w:val="24"/>
        </w:rPr>
        <w:t>Závěr:</w:t>
      </w:r>
      <w:r>
        <w:rPr>
          <w:sz w:val="24"/>
          <w:szCs w:val="24"/>
        </w:rPr>
        <w:t xml:space="preserve"> Vy</w:t>
      </w:r>
      <w:r w:rsidR="00AC66FB">
        <w:rPr>
          <w:sz w:val="24"/>
          <w:szCs w:val="24"/>
        </w:rPr>
        <w:t>s</w:t>
      </w:r>
      <w:r>
        <w:rPr>
          <w:sz w:val="24"/>
          <w:szCs w:val="24"/>
        </w:rPr>
        <w:t>tavit databázi metadat z NUŠL pod nekomerční licencí.</w:t>
      </w:r>
      <w:r w:rsidR="00E05188">
        <w:rPr>
          <w:sz w:val="24"/>
          <w:szCs w:val="24"/>
        </w:rPr>
        <w:t xml:space="preserve"> Jak s tím naloží discovery systémy, nechat na nich.</w:t>
      </w:r>
    </w:p>
    <w:p w14:paraId="70B67725" w14:textId="77777777" w:rsidR="00A37E94" w:rsidRDefault="00A37E94" w:rsidP="000E5A04">
      <w:pPr>
        <w:spacing w:line="360" w:lineRule="auto"/>
        <w:ind w:left="774"/>
        <w:jc w:val="both"/>
        <w:rPr>
          <w:sz w:val="24"/>
          <w:szCs w:val="24"/>
        </w:rPr>
      </w:pPr>
    </w:p>
    <w:p w14:paraId="388BA823" w14:textId="77777777" w:rsidR="00970613" w:rsidRPr="00A37E94" w:rsidRDefault="00970613" w:rsidP="000E5A04">
      <w:pPr>
        <w:pStyle w:val="Nadpis2"/>
        <w:ind w:left="774"/>
      </w:pPr>
      <w:r w:rsidRPr="00A37E94">
        <w:t>Propagace Konference o šedé literatuře a repozitářích v okolních zemích</w:t>
      </w:r>
    </w:p>
    <w:p w14:paraId="69EE7680" w14:textId="52E40BFB" w:rsidR="004E61A9" w:rsidRDefault="002E20D7" w:rsidP="000E5A04">
      <w:pPr>
        <w:spacing w:line="360" w:lineRule="auto"/>
        <w:ind w:left="774"/>
        <w:jc w:val="both"/>
        <w:rPr>
          <w:sz w:val="24"/>
          <w:szCs w:val="24"/>
        </w:rPr>
      </w:pPr>
      <w:r w:rsidRPr="002E20D7">
        <w:rPr>
          <w:sz w:val="24"/>
          <w:szCs w:val="24"/>
        </w:rPr>
        <w:t>V roce 2014 byla Konference o šedé literatuře a digitálních repozitářích poprvé tlumočena a účastnilo se ji více přednášejících i posluchačů ze zahraničí. Pro příští ročník zvažujeme větší propagaci akce v okolních zemích.</w:t>
      </w:r>
    </w:p>
    <w:p w14:paraId="60BE2BCB" w14:textId="257AC0C5" w:rsidR="00970613" w:rsidRDefault="00970613" w:rsidP="000E5A04">
      <w:pPr>
        <w:spacing w:line="360" w:lineRule="auto"/>
        <w:ind w:left="774"/>
        <w:jc w:val="both"/>
        <w:rPr>
          <w:sz w:val="24"/>
          <w:szCs w:val="24"/>
        </w:rPr>
      </w:pPr>
      <w:r>
        <w:rPr>
          <w:sz w:val="24"/>
          <w:szCs w:val="24"/>
        </w:rPr>
        <w:t>Ing. Lhoták doporučil využít mail</w:t>
      </w:r>
      <w:r w:rsidR="00AC66FB">
        <w:rPr>
          <w:sz w:val="24"/>
          <w:szCs w:val="24"/>
        </w:rPr>
        <w:t>ing l</w:t>
      </w:r>
      <w:r>
        <w:rPr>
          <w:sz w:val="24"/>
          <w:szCs w:val="24"/>
        </w:rPr>
        <w:t>ist Liber.</w:t>
      </w:r>
    </w:p>
    <w:p w14:paraId="5B71F014" w14:textId="7141FEE2" w:rsidR="002E20D7" w:rsidRDefault="002E20D7" w:rsidP="000E5A04">
      <w:pPr>
        <w:spacing w:line="360" w:lineRule="auto"/>
        <w:ind w:left="774"/>
        <w:jc w:val="both"/>
        <w:rPr>
          <w:sz w:val="24"/>
          <w:szCs w:val="24"/>
        </w:rPr>
      </w:pPr>
      <w:r w:rsidRPr="002E20D7">
        <w:rPr>
          <w:b/>
          <w:sz w:val="24"/>
          <w:szCs w:val="24"/>
        </w:rPr>
        <w:t>Závěr:</w:t>
      </w:r>
      <w:r>
        <w:rPr>
          <w:sz w:val="24"/>
          <w:szCs w:val="24"/>
        </w:rPr>
        <w:t xml:space="preserve"> Doporučeno akci šířit v okolních zemích a využít mail</w:t>
      </w:r>
      <w:r w:rsidR="00AC66FB">
        <w:rPr>
          <w:sz w:val="24"/>
          <w:szCs w:val="24"/>
        </w:rPr>
        <w:t>ing l</w:t>
      </w:r>
      <w:r>
        <w:rPr>
          <w:sz w:val="24"/>
          <w:szCs w:val="24"/>
        </w:rPr>
        <w:t>ist Liber.</w:t>
      </w:r>
    </w:p>
    <w:p w14:paraId="3D142641" w14:textId="77777777" w:rsidR="002E20D7" w:rsidRDefault="002E20D7" w:rsidP="000E5A04">
      <w:pPr>
        <w:spacing w:line="360" w:lineRule="auto"/>
        <w:ind w:left="774"/>
        <w:jc w:val="both"/>
        <w:rPr>
          <w:sz w:val="24"/>
          <w:szCs w:val="24"/>
        </w:rPr>
      </w:pPr>
    </w:p>
    <w:p w14:paraId="0DA1E708" w14:textId="77777777" w:rsidR="00CB183D" w:rsidRDefault="00CB183D" w:rsidP="000E5A04">
      <w:pPr>
        <w:pStyle w:val="Nadpis2"/>
        <w:ind w:left="774"/>
      </w:pPr>
    </w:p>
    <w:p w14:paraId="7AA2E5DB" w14:textId="77777777" w:rsidR="00970613" w:rsidRPr="00A37E94" w:rsidRDefault="00970613" w:rsidP="000E5A04">
      <w:pPr>
        <w:pStyle w:val="Nadpis2"/>
        <w:ind w:left="774"/>
      </w:pPr>
      <w:r w:rsidRPr="00A37E94">
        <w:t>Vytvoření úložiště vědeckých dat a vzájemné propojení s NUŠL</w:t>
      </w:r>
    </w:p>
    <w:p w14:paraId="5A39EE91" w14:textId="77777777" w:rsidR="00AB4CBE" w:rsidRDefault="00AB4CBE" w:rsidP="000E5A04">
      <w:pPr>
        <w:spacing w:line="360" w:lineRule="auto"/>
        <w:ind w:left="774"/>
        <w:jc w:val="both"/>
        <w:rPr>
          <w:sz w:val="24"/>
          <w:szCs w:val="24"/>
        </w:rPr>
      </w:pPr>
    </w:p>
    <w:p w14:paraId="5658FDF7" w14:textId="07C99608" w:rsidR="00D72F70" w:rsidRDefault="00995EB5" w:rsidP="000E5A04">
      <w:pPr>
        <w:spacing w:line="360" w:lineRule="auto"/>
        <w:ind w:left="774"/>
        <w:jc w:val="both"/>
        <w:rPr>
          <w:sz w:val="24"/>
          <w:szCs w:val="24"/>
        </w:rPr>
      </w:pPr>
      <w:r>
        <w:rPr>
          <w:sz w:val="24"/>
          <w:szCs w:val="24"/>
        </w:rPr>
        <w:t>NTK se začala ve spolupráci s Cesn</w:t>
      </w:r>
      <w:bookmarkStart w:id="0" w:name="_GoBack"/>
      <w:bookmarkEnd w:id="0"/>
      <w:r>
        <w:rPr>
          <w:sz w:val="24"/>
          <w:szCs w:val="24"/>
        </w:rPr>
        <w:t>etem zabývat možností ukládání vědeckých dat.</w:t>
      </w:r>
    </w:p>
    <w:p w14:paraId="5B8D61C2" w14:textId="1AF869C3" w:rsidR="00995EB5" w:rsidRDefault="00995EB5" w:rsidP="000E5A04">
      <w:pPr>
        <w:spacing w:line="360" w:lineRule="auto"/>
        <w:ind w:left="774"/>
        <w:jc w:val="both"/>
        <w:rPr>
          <w:sz w:val="24"/>
          <w:szCs w:val="24"/>
        </w:rPr>
      </w:pPr>
      <w:r>
        <w:rPr>
          <w:sz w:val="24"/>
          <w:szCs w:val="24"/>
        </w:rPr>
        <w:t>Ing. Lhoták souhlasí s návrhem. Pro KNAV bude dobré mít možnost ukládání vědeckých dat, alespoň nebudou muset úložiště budovat sami. Upozornil, že bude nutné řešit různorodé záležitosti jak na straně vkladatelů tak uživatelů.</w:t>
      </w:r>
    </w:p>
    <w:p w14:paraId="4E872DE4" w14:textId="0392B953" w:rsidR="00995EB5" w:rsidRDefault="00EC25E8" w:rsidP="000E5A04">
      <w:pPr>
        <w:spacing w:line="360" w:lineRule="auto"/>
        <w:ind w:left="774"/>
        <w:jc w:val="both"/>
        <w:rPr>
          <w:sz w:val="24"/>
          <w:szCs w:val="24"/>
        </w:rPr>
      </w:pPr>
      <w:r>
        <w:rPr>
          <w:sz w:val="24"/>
          <w:szCs w:val="24"/>
        </w:rPr>
        <w:t>Ing. Drozda upozornil na to, že vědci již nyní svá vědecká data sdílejí. Ovšem vidí problém v ukládání a to především v tom, že vědci budou mít problém zadávat popisná metadata. Se samotným nahráváním a</w:t>
      </w:r>
      <w:r w:rsidR="00AC66FB">
        <w:rPr>
          <w:sz w:val="24"/>
          <w:szCs w:val="24"/>
        </w:rPr>
        <w:t> </w:t>
      </w:r>
      <w:r>
        <w:rPr>
          <w:sz w:val="24"/>
          <w:szCs w:val="24"/>
        </w:rPr>
        <w:t>sdílením vědeckých dat problém nevidí.</w:t>
      </w:r>
    </w:p>
    <w:p w14:paraId="709761EC" w14:textId="5A170838" w:rsidR="00EC25E8" w:rsidRDefault="00C36B17" w:rsidP="000E5A04">
      <w:pPr>
        <w:spacing w:line="360" w:lineRule="auto"/>
        <w:ind w:left="774"/>
        <w:jc w:val="both"/>
        <w:rPr>
          <w:sz w:val="24"/>
          <w:szCs w:val="24"/>
        </w:rPr>
      </w:pPr>
      <w:r>
        <w:rPr>
          <w:sz w:val="24"/>
          <w:szCs w:val="24"/>
        </w:rPr>
        <w:t>Ing. Mach doporučil vycházet z OpenA</w:t>
      </w:r>
      <w:r w:rsidR="00DD6CA5">
        <w:rPr>
          <w:sz w:val="24"/>
          <w:szCs w:val="24"/>
        </w:rPr>
        <w:t>IRE</w:t>
      </w:r>
      <w:r>
        <w:rPr>
          <w:sz w:val="24"/>
          <w:szCs w:val="24"/>
        </w:rPr>
        <w:t xml:space="preserve"> Guidelines for data. Ve spolupráci s Cesnetem vidí velký potenciál. Roli NTK vidí ve stanovení metodik a</w:t>
      </w:r>
      <w:r w:rsidR="00024DF5">
        <w:rPr>
          <w:sz w:val="24"/>
          <w:szCs w:val="24"/>
        </w:rPr>
        <w:t> </w:t>
      </w:r>
      <w:r>
        <w:rPr>
          <w:sz w:val="24"/>
          <w:szCs w:val="24"/>
        </w:rPr>
        <w:t>pravidel.</w:t>
      </w:r>
      <w:r w:rsidR="00EF31B9">
        <w:rPr>
          <w:sz w:val="24"/>
          <w:szCs w:val="24"/>
        </w:rPr>
        <w:t xml:space="preserve"> </w:t>
      </w:r>
    </w:p>
    <w:p w14:paraId="4D042564" w14:textId="042A9550" w:rsidR="00EF31B9" w:rsidRDefault="00EF31B9" w:rsidP="000E5A04">
      <w:pPr>
        <w:spacing w:line="360" w:lineRule="auto"/>
        <w:ind w:left="77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Ign. Hakenová upozornila, že podle Horizontu 2020 by mělo být v ČR alespoň jedno místo pro ukládání vědeckých dat.</w:t>
      </w:r>
    </w:p>
    <w:p w14:paraId="70AED116" w14:textId="3B33A366" w:rsidR="00EF31B9" w:rsidRDefault="00EA3631" w:rsidP="000E5A04">
      <w:pPr>
        <w:spacing w:line="360" w:lineRule="auto"/>
        <w:ind w:left="774"/>
        <w:jc w:val="both"/>
        <w:rPr>
          <w:sz w:val="24"/>
          <w:szCs w:val="24"/>
        </w:rPr>
      </w:pPr>
      <w:r w:rsidRPr="00EA3631">
        <w:rPr>
          <w:b/>
          <w:sz w:val="24"/>
          <w:szCs w:val="24"/>
        </w:rPr>
        <w:t>Závěr:</w:t>
      </w:r>
      <w:r>
        <w:rPr>
          <w:sz w:val="24"/>
          <w:szCs w:val="24"/>
        </w:rPr>
        <w:t xml:space="preserve"> Pokračovat v přípravách na vytvoření úložiště vědeckých dat ve spolupráci s Cesnetem.</w:t>
      </w:r>
    </w:p>
    <w:p w14:paraId="7D982D94" w14:textId="77777777" w:rsidR="00EF31B9" w:rsidRDefault="00EF31B9" w:rsidP="000E5A04">
      <w:pPr>
        <w:spacing w:line="360" w:lineRule="auto"/>
        <w:ind w:left="774"/>
        <w:jc w:val="both"/>
        <w:rPr>
          <w:sz w:val="24"/>
          <w:szCs w:val="24"/>
        </w:rPr>
      </w:pPr>
    </w:p>
    <w:p w14:paraId="2D71476A" w14:textId="039ED8FE" w:rsidR="00E05188" w:rsidRDefault="00FA4452" w:rsidP="000E5A04">
      <w:pPr>
        <w:pStyle w:val="Nadpis2"/>
        <w:ind w:left="774"/>
      </w:pPr>
      <w:r>
        <w:t>Pokračování v průběžných činnostech</w:t>
      </w:r>
    </w:p>
    <w:p w14:paraId="1516C07C" w14:textId="77777777" w:rsidR="00677F90" w:rsidRDefault="00677F90" w:rsidP="000E5A04">
      <w:pPr>
        <w:pStyle w:val="Odstavecseseznamem"/>
        <w:spacing w:line="360" w:lineRule="auto"/>
        <w:ind w:left="774"/>
        <w:jc w:val="both"/>
        <w:rPr>
          <w:b/>
          <w:sz w:val="24"/>
          <w:szCs w:val="24"/>
        </w:rPr>
      </w:pPr>
    </w:p>
    <w:p w14:paraId="1D97DB7C" w14:textId="098A2E16" w:rsidR="00677F90" w:rsidRPr="00677F90" w:rsidRDefault="00677F90" w:rsidP="000E5A04">
      <w:pPr>
        <w:pStyle w:val="Odstavecseseznamem"/>
        <w:spacing w:line="360" w:lineRule="auto"/>
        <w:ind w:left="774"/>
        <w:jc w:val="both"/>
        <w:rPr>
          <w:sz w:val="24"/>
          <w:szCs w:val="24"/>
        </w:rPr>
      </w:pPr>
      <w:r w:rsidRPr="00677F90">
        <w:rPr>
          <w:sz w:val="24"/>
          <w:szCs w:val="24"/>
        </w:rPr>
        <w:t>Viz příloha č. 3</w:t>
      </w:r>
    </w:p>
    <w:p w14:paraId="3F985AB9" w14:textId="1D361E28" w:rsidR="00FA4452" w:rsidRDefault="00FA4452" w:rsidP="000E5A04">
      <w:pPr>
        <w:pStyle w:val="Odstavecseseznamem"/>
        <w:spacing w:line="360" w:lineRule="auto"/>
        <w:ind w:left="774"/>
        <w:jc w:val="both"/>
        <w:rPr>
          <w:sz w:val="24"/>
          <w:szCs w:val="24"/>
        </w:rPr>
      </w:pPr>
      <w:r w:rsidRPr="00890880">
        <w:rPr>
          <w:b/>
          <w:sz w:val="24"/>
          <w:szCs w:val="24"/>
        </w:rPr>
        <w:t>Dotazy a připomínky: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Žádné</w:t>
      </w:r>
    </w:p>
    <w:p w14:paraId="7FF74ACE" w14:textId="77777777" w:rsidR="00FA4452" w:rsidRDefault="00FA4452" w:rsidP="00E05188">
      <w:pPr>
        <w:spacing w:line="360" w:lineRule="auto"/>
        <w:ind w:left="1134"/>
        <w:jc w:val="both"/>
        <w:rPr>
          <w:sz w:val="24"/>
          <w:szCs w:val="24"/>
        </w:rPr>
      </w:pPr>
    </w:p>
    <w:p w14:paraId="45DE26A5" w14:textId="77777777" w:rsidR="00FA4452" w:rsidRDefault="00FA4452" w:rsidP="00E05188">
      <w:pPr>
        <w:spacing w:line="360" w:lineRule="auto"/>
        <w:ind w:left="1134"/>
        <w:jc w:val="both"/>
        <w:rPr>
          <w:sz w:val="24"/>
          <w:szCs w:val="24"/>
        </w:rPr>
      </w:pPr>
    </w:p>
    <w:p w14:paraId="15FDFE53" w14:textId="77777777" w:rsidR="0006101F" w:rsidRPr="008E3CFB" w:rsidRDefault="0006101F" w:rsidP="003919E3">
      <w:pPr>
        <w:spacing w:line="360" w:lineRule="auto"/>
        <w:jc w:val="both"/>
        <w:rPr>
          <w:b/>
          <w:sz w:val="24"/>
          <w:szCs w:val="24"/>
        </w:rPr>
      </w:pPr>
    </w:p>
    <w:p w14:paraId="4C127D7C" w14:textId="77777777" w:rsidR="003148C9" w:rsidRDefault="003148C9" w:rsidP="004668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Zapsal:</w:t>
      </w:r>
    </w:p>
    <w:p w14:paraId="7C64D4E3" w14:textId="77777777" w:rsidR="003148C9" w:rsidRDefault="003148C9" w:rsidP="004668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Hana Vyčítalová</w:t>
      </w:r>
    </w:p>
    <w:p w14:paraId="4347F64F" w14:textId="77777777" w:rsidR="003148C9" w:rsidRDefault="003148C9" w:rsidP="004668DA">
      <w:pPr>
        <w:spacing w:line="360" w:lineRule="auto"/>
        <w:rPr>
          <w:sz w:val="24"/>
          <w:szCs w:val="24"/>
        </w:rPr>
      </w:pPr>
    </w:p>
    <w:p w14:paraId="3AC119A1" w14:textId="77777777" w:rsidR="003148C9" w:rsidRDefault="003148C9" w:rsidP="004668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Ověřil:</w:t>
      </w:r>
    </w:p>
    <w:p w14:paraId="1D0102AB" w14:textId="77777777" w:rsidR="004668DA" w:rsidRPr="003919E3" w:rsidRDefault="004668DA" w:rsidP="004668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Petra Pejšová</w:t>
      </w:r>
    </w:p>
    <w:sectPr w:rsidR="004668DA" w:rsidRPr="003919E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5B573D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4EB424" w14:textId="77777777" w:rsidR="00A5277A" w:rsidRDefault="00A5277A" w:rsidP="00606BFD">
      <w:pPr>
        <w:spacing w:line="240" w:lineRule="auto"/>
      </w:pPr>
      <w:r>
        <w:separator/>
      </w:r>
    </w:p>
  </w:endnote>
  <w:endnote w:type="continuationSeparator" w:id="0">
    <w:p w14:paraId="2FF8746A" w14:textId="77777777" w:rsidR="00A5277A" w:rsidRDefault="00A5277A" w:rsidP="00606B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om 55">
    <w:altName w:val="Trebuchet MS"/>
    <w:panose1 w:val="020B0603020202020204"/>
    <w:charset w:val="EE"/>
    <w:family w:val="swiss"/>
    <w:pitch w:val="variable"/>
    <w:sig w:usb0="800000AF" w:usb1="5000204A" w:usb2="00000000" w:usb3="00000000" w:csb0="0000009B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3371181"/>
      <w:docPartObj>
        <w:docPartGallery w:val="Page Numbers (Bottom of Page)"/>
        <w:docPartUnique/>
      </w:docPartObj>
    </w:sdtPr>
    <w:sdtEndPr/>
    <w:sdtContent>
      <w:p w14:paraId="418568FF" w14:textId="77777777" w:rsidR="00CC6C31" w:rsidRDefault="00CC6C3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5EB">
          <w:rPr>
            <w:noProof/>
          </w:rPr>
          <w:t>6</w:t>
        </w:r>
        <w:r>
          <w:fldChar w:fldCharType="end"/>
        </w:r>
      </w:p>
    </w:sdtContent>
  </w:sdt>
  <w:p w14:paraId="3619C811" w14:textId="77777777" w:rsidR="00CC6C31" w:rsidRDefault="00CC6C3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CAB0B9" w14:textId="77777777" w:rsidR="00A5277A" w:rsidRDefault="00A5277A" w:rsidP="00606BFD">
      <w:pPr>
        <w:spacing w:line="240" w:lineRule="auto"/>
      </w:pPr>
      <w:r>
        <w:separator/>
      </w:r>
    </w:p>
  </w:footnote>
  <w:footnote w:type="continuationSeparator" w:id="0">
    <w:p w14:paraId="79D1D39B" w14:textId="77777777" w:rsidR="00A5277A" w:rsidRDefault="00A5277A" w:rsidP="00606B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2741F"/>
    <w:multiLevelType w:val="hybridMultilevel"/>
    <w:tmpl w:val="3322E5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53C8E"/>
    <w:multiLevelType w:val="hybridMultilevel"/>
    <w:tmpl w:val="8C283B2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3024A3"/>
    <w:multiLevelType w:val="hybridMultilevel"/>
    <w:tmpl w:val="7FD47A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77EB2"/>
    <w:multiLevelType w:val="hybridMultilevel"/>
    <w:tmpl w:val="2E4EE9D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6D66C6"/>
    <w:multiLevelType w:val="hybridMultilevel"/>
    <w:tmpl w:val="19B8EA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B36EA"/>
    <w:multiLevelType w:val="hybridMultilevel"/>
    <w:tmpl w:val="D7D0E08E"/>
    <w:lvl w:ilvl="0" w:tplc="040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>
    <w:nsid w:val="2BB214D2"/>
    <w:multiLevelType w:val="hybridMultilevel"/>
    <w:tmpl w:val="17661C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124C9"/>
    <w:multiLevelType w:val="hybridMultilevel"/>
    <w:tmpl w:val="C3A08AA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3A823B77"/>
    <w:multiLevelType w:val="hybridMultilevel"/>
    <w:tmpl w:val="290AF14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3DEA0B80"/>
    <w:multiLevelType w:val="hybridMultilevel"/>
    <w:tmpl w:val="BDD87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4352E5"/>
    <w:multiLevelType w:val="hybridMultilevel"/>
    <w:tmpl w:val="CFD01D70"/>
    <w:lvl w:ilvl="0" w:tplc="1EE21C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8370900"/>
    <w:multiLevelType w:val="hybridMultilevel"/>
    <w:tmpl w:val="0B96BAFA"/>
    <w:lvl w:ilvl="0" w:tplc="0C94086A">
      <w:numFmt w:val="bullet"/>
      <w:lvlText w:val="•"/>
      <w:lvlJc w:val="left"/>
      <w:pPr>
        <w:ind w:left="720" w:hanging="360"/>
      </w:pPr>
      <w:rPr>
        <w:rFonts w:ascii="Univers Com 55" w:eastAsia="Times" w:hAnsi="Univers Com 55" w:cs="Times New Roman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795C38"/>
    <w:multiLevelType w:val="hybridMultilevel"/>
    <w:tmpl w:val="4FB64EA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5BAA5A95"/>
    <w:multiLevelType w:val="hybridMultilevel"/>
    <w:tmpl w:val="74C8A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1"/>
  </w:num>
  <w:num w:numId="5">
    <w:abstractNumId w:val="5"/>
  </w:num>
  <w:num w:numId="6">
    <w:abstractNumId w:val="13"/>
  </w:num>
  <w:num w:numId="7">
    <w:abstractNumId w:val="4"/>
  </w:num>
  <w:num w:numId="8">
    <w:abstractNumId w:val="9"/>
  </w:num>
  <w:num w:numId="9">
    <w:abstractNumId w:val="3"/>
  </w:num>
  <w:num w:numId="10">
    <w:abstractNumId w:val="12"/>
  </w:num>
  <w:num w:numId="11">
    <w:abstractNumId w:val="8"/>
  </w:num>
  <w:num w:numId="12">
    <w:abstractNumId w:val="7"/>
  </w:num>
  <w:num w:numId="13">
    <w:abstractNumId w:val="1"/>
  </w:num>
  <w:num w:numId="14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ana Vyčítalová">
    <w15:presenceInfo w15:providerId="AD" w15:userId="S-1-5-21-1015203311-753015318-831944688-39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B9E"/>
    <w:rsid w:val="00022784"/>
    <w:rsid w:val="000238F8"/>
    <w:rsid w:val="00024DF5"/>
    <w:rsid w:val="00055129"/>
    <w:rsid w:val="0006101F"/>
    <w:rsid w:val="000725EB"/>
    <w:rsid w:val="00073F5C"/>
    <w:rsid w:val="00083E13"/>
    <w:rsid w:val="0008784D"/>
    <w:rsid w:val="000A25F7"/>
    <w:rsid w:val="000E5A04"/>
    <w:rsid w:val="000F3E0F"/>
    <w:rsid w:val="0011429D"/>
    <w:rsid w:val="00123412"/>
    <w:rsid w:val="00161A35"/>
    <w:rsid w:val="001E522E"/>
    <w:rsid w:val="002247EE"/>
    <w:rsid w:val="00235828"/>
    <w:rsid w:val="002626C6"/>
    <w:rsid w:val="00282AC6"/>
    <w:rsid w:val="002E20D7"/>
    <w:rsid w:val="002F41C4"/>
    <w:rsid w:val="003148C9"/>
    <w:rsid w:val="00324CF9"/>
    <w:rsid w:val="0032793F"/>
    <w:rsid w:val="00335307"/>
    <w:rsid w:val="00351198"/>
    <w:rsid w:val="00355F5B"/>
    <w:rsid w:val="00362BDD"/>
    <w:rsid w:val="00390563"/>
    <w:rsid w:val="003919E3"/>
    <w:rsid w:val="0039604F"/>
    <w:rsid w:val="003B694C"/>
    <w:rsid w:val="003C159F"/>
    <w:rsid w:val="003D7663"/>
    <w:rsid w:val="003E0481"/>
    <w:rsid w:val="003E1513"/>
    <w:rsid w:val="003E630B"/>
    <w:rsid w:val="003F11EC"/>
    <w:rsid w:val="00421CB4"/>
    <w:rsid w:val="00444863"/>
    <w:rsid w:val="004668DA"/>
    <w:rsid w:val="004B1FC0"/>
    <w:rsid w:val="004B64DA"/>
    <w:rsid w:val="004C10A6"/>
    <w:rsid w:val="004D32F4"/>
    <w:rsid w:val="004D3AA5"/>
    <w:rsid w:val="004D3C86"/>
    <w:rsid w:val="004E61A9"/>
    <w:rsid w:val="005139A9"/>
    <w:rsid w:val="00527D5A"/>
    <w:rsid w:val="00531332"/>
    <w:rsid w:val="00550B9E"/>
    <w:rsid w:val="00554549"/>
    <w:rsid w:val="0056210B"/>
    <w:rsid w:val="005A2EBF"/>
    <w:rsid w:val="005B09F6"/>
    <w:rsid w:val="005D05FF"/>
    <w:rsid w:val="005E21FD"/>
    <w:rsid w:val="005F3619"/>
    <w:rsid w:val="00605C55"/>
    <w:rsid w:val="00606BFD"/>
    <w:rsid w:val="00654087"/>
    <w:rsid w:val="00665B87"/>
    <w:rsid w:val="00670CF8"/>
    <w:rsid w:val="00677F90"/>
    <w:rsid w:val="006E75EF"/>
    <w:rsid w:val="007343D2"/>
    <w:rsid w:val="007515EE"/>
    <w:rsid w:val="007568FF"/>
    <w:rsid w:val="00771626"/>
    <w:rsid w:val="00787FA1"/>
    <w:rsid w:val="00790200"/>
    <w:rsid w:val="00793C22"/>
    <w:rsid w:val="008041F3"/>
    <w:rsid w:val="0081022D"/>
    <w:rsid w:val="00816DF3"/>
    <w:rsid w:val="00825284"/>
    <w:rsid w:val="00833A45"/>
    <w:rsid w:val="00846BBA"/>
    <w:rsid w:val="00846E79"/>
    <w:rsid w:val="008755F9"/>
    <w:rsid w:val="00883DBC"/>
    <w:rsid w:val="00890880"/>
    <w:rsid w:val="008B4296"/>
    <w:rsid w:val="008B6298"/>
    <w:rsid w:val="008C48C8"/>
    <w:rsid w:val="008C77F1"/>
    <w:rsid w:val="008E3CFB"/>
    <w:rsid w:val="008F0130"/>
    <w:rsid w:val="009259E2"/>
    <w:rsid w:val="00932AFB"/>
    <w:rsid w:val="00936A11"/>
    <w:rsid w:val="0094583F"/>
    <w:rsid w:val="00970613"/>
    <w:rsid w:val="00992870"/>
    <w:rsid w:val="00995EB5"/>
    <w:rsid w:val="009B3A7E"/>
    <w:rsid w:val="009C4F71"/>
    <w:rsid w:val="009E04BE"/>
    <w:rsid w:val="009F3233"/>
    <w:rsid w:val="00A0637D"/>
    <w:rsid w:val="00A37E94"/>
    <w:rsid w:val="00A4035D"/>
    <w:rsid w:val="00A4334F"/>
    <w:rsid w:val="00A5277A"/>
    <w:rsid w:val="00A7306F"/>
    <w:rsid w:val="00A80A2E"/>
    <w:rsid w:val="00A8541A"/>
    <w:rsid w:val="00AA337F"/>
    <w:rsid w:val="00AB1652"/>
    <w:rsid w:val="00AB4CBE"/>
    <w:rsid w:val="00AC0E41"/>
    <w:rsid w:val="00AC131C"/>
    <w:rsid w:val="00AC4729"/>
    <w:rsid w:val="00AC66FB"/>
    <w:rsid w:val="00AD1C7F"/>
    <w:rsid w:val="00B01E58"/>
    <w:rsid w:val="00B3127A"/>
    <w:rsid w:val="00B640FB"/>
    <w:rsid w:val="00B961CB"/>
    <w:rsid w:val="00BF2D8D"/>
    <w:rsid w:val="00C20B6F"/>
    <w:rsid w:val="00C36B17"/>
    <w:rsid w:val="00C46008"/>
    <w:rsid w:val="00C50F1F"/>
    <w:rsid w:val="00C573DA"/>
    <w:rsid w:val="00C642EB"/>
    <w:rsid w:val="00C83390"/>
    <w:rsid w:val="00C83E75"/>
    <w:rsid w:val="00C84455"/>
    <w:rsid w:val="00C87AF1"/>
    <w:rsid w:val="00CB183D"/>
    <w:rsid w:val="00CC6C31"/>
    <w:rsid w:val="00CE6B4C"/>
    <w:rsid w:val="00D62DA5"/>
    <w:rsid w:val="00D706B3"/>
    <w:rsid w:val="00D72F70"/>
    <w:rsid w:val="00DB4064"/>
    <w:rsid w:val="00DD55CA"/>
    <w:rsid w:val="00DD6CA5"/>
    <w:rsid w:val="00DE7EA1"/>
    <w:rsid w:val="00E05188"/>
    <w:rsid w:val="00E100AA"/>
    <w:rsid w:val="00E120D6"/>
    <w:rsid w:val="00E25F6D"/>
    <w:rsid w:val="00E43FF2"/>
    <w:rsid w:val="00EA19B1"/>
    <w:rsid w:val="00EA3631"/>
    <w:rsid w:val="00EC25E8"/>
    <w:rsid w:val="00ED4159"/>
    <w:rsid w:val="00EE7A6E"/>
    <w:rsid w:val="00EF31B9"/>
    <w:rsid w:val="00F45099"/>
    <w:rsid w:val="00F4604D"/>
    <w:rsid w:val="00F7797B"/>
    <w:rsid w:val="00F82FD3"/>
    <w:rsid w:val="00FA4452"/>
    <w:rsid w:val="00FD20CD"/>
    <w:rsid w:val="00FE61C9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EE2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604D"/>
    <w:pPr>
      <w:spacing w:after="0" w:line="280" w:lineRule="exact"/>
    </w:pPr>
    <w:rPr>
      <w:rFonts w:ascii="Univers Com 55" w:eastAsia="Times" w:hAnsi="Univers Com 55" w:cs="Times New Roman"/>
      <w:color w:val="000000"/>
      <w:kern w:val="18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259E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D76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460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604D"/>
    <w:rPr>
      <w:rFonts w:ascii="Tahoma" w:eastAsia="Times" w:hAnsi="Tahoma" w:cs="Tahoma"/>
      <w:color w:val="000000"/>
      <w:kern w:val="18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0A2E"/>
    <w:pPr>
      <w:ind w:left="720"/>
      <w:contextualSpacing/>
    </w:pPr>
  </w:style>
  <w:style w:type="character" w:styleId="Hypertextovodkaz">
    <w:name w:val="Hyperlink"/>
    <w:uiPriority w:val="99"/>
    <w:unhideWhenUsed/>
    <w:rsid w:val="003E1513"/>
    <w:rPr>
      <w:color w:val="0000FF"/>
      <w:u w:val="single"/>
    </w:rPr>
  </w:style>
  <w:style w:type="character" w:customStyle="1" w:styleId="apple-converted-space">
    <w:name w:val="apple-converted-space"/>
    <w:rsid w:val="003E1513"/>
  </w:style>
  <w:style w:type="character" w:styleId="Odkaznakoment">
    <w:name w:val="annotation reference"/>
    <w:basedOn w:val="Standardnpsmoodstavce"/>
    <w:uiPriority w:val="99"/>
    <w:semiHidden/>
    <w:unhideWhenUsed/>
    <w:rsid w:val="00083E1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3E13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3E13"/>
    <w:rPr>
      <w:rFonts w:ascii="Univers Com 55" w:eastAsia="Times" w:hAnsi="Univers Com 55" w:cs="Times New Roman"/>
      <w:color w:val="000000"/>
      <w:kern w:val="18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3E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3E13"/>
    <w:rPr>
      <w:rFonts w:ascii="Univers Com 55" w:eastAsia="Times" w:hAnsi="Univers Com 55" w:cs="Times New Roman"/>
      <w:b/>
      <w:bCs/>
      <w:color w:val="000000"/>
      <w:kern w:val="18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335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C6C31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6C31"/>
    <w:rPr>
      <w:rFonts w:ascii="Univers Com 55" w:eastAsia="Times" w:hAnsi="Univers Com 55" w:cs="Times New Roman"/>
      <w:color w:val="000000"/>
      <w:kern w:val="1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C6C31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6C31"/>
    <w:rPr>
      <w:rFonts w:ascii="Univers Com 55" w:eastAsia="Times" w:hAnsi="Univers Com 55" w:cs="Times New Roman"/>
      <w:color w:val="000000"/>
      <w:kern w:val="18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FF05AA"/>
    <w:rPr>
      <w:b/>
      <w:bCs/>
    </w:rPr>
  </w:style>
  <w:style w:type="character" w:styleId="Odkazintenzivn">
    <w:name w:val="Intense Reference"/>
    <w:basedOn w:val="Standardnpsmoodstavce"/>
    <w:uiPriority w:val="32"/>
    <w:qFormat/>
    <w:rsid w:val="009259E2"/>
    <w:rPr>
      <w:b/>
      <w:bCs/>
      <w:smallCaps/>
      <w:color w:val="C0504D" w:themeColor="accent2"/>
      <w:spacing w:val="5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9259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D7663"/>
    <w:rPr>
      <w:rFonts w:asciiTheme="majorHAnsi" w:eastAsiaTheme="majorEastAsia" w:hAnsiTheme="majorHAnsi" w:cstheme="majorBidi"/>
      <w:b/>
      <w:bCs/>
      <w:color w:val="4F81BD" w:themeColor="accent1"/>
      <w:kern w:val="18"/>
      <w:sz w:val="26"/>
      <w:szCs w:val="2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604D"/>
    <w:pPr>
      <w:spacing w:after="0" w:line="280" w:lineRule="exact"/>
    </w:pPr>
    <w:rPr>
      <w:rFonts w:ascii="Univers Com 55" w:eastAsia="Times" w:hAnsi="Univers Com 55" w:cs="Times New Roman"/>
      <w:color w:val="000000"/>
      <w:kern w:val="18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259E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D76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460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604D"/>
    <w:rPr>
      <w:rFonts w:ascii="Tahoma" w:eastAsia="Times" w:hAnsi="Tahoma" w:cs="Tahoma"/>
      <w:color w:val="000000"/>
      <w:kern w:val="18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0A2E"/>
    <w:pPr>
      <w:ind w:left="720"/>
      <w:contextualSpacing/>
    </w:pPr>
  </w:style>
  <w:style w:type="character" w:styleId="Hypertextovodkaz">
    <w:name w:val="Hyperlink"/>
    <w:uiPriority w:val="99"/>
    <w:unhideWhenUsed/>
    <w:rsid w:val="003E1513"/>
    <w:rPr>
      <w:color w:val="0000FF"/>
      <w:u w:val="single"/>
    </w:rPr>
  </w:style>
  <w:style w:type="character" w:customStyle="1" w:styleId="apple-converted-space">
    <w:name w:val="apple-converted-space"/>
    <w:rsid w:val="003E1513"/>
  </w:style>
  <w:style w:type="character" w:styleId="Odkaznakoment">
    <w:name w:val="annotation reference"/>
    <w:basedOn w:val="Standardnpsmoodstavce"/>
    <w:uiPriority w:val="99"/>
    <w:semiHidden/>
    <w:unhideWhenUsed/>
    <w:rsid w:val="00083E1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3E13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3E13"/>
    <w:rPr>
      <w:rFonts w:ascii="Univers Com 55" w:eastAsia="Times" w:hAnsi="Univers Com 55" w:cs="Times New Roman"/>
      <w:color w:val="000000"/>
      <w:kern w:val="18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3E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3E13"/>
    <w:rPr>
      <w:rFonts w:ascii="Univers Com 55" w:eastAsia="Times" w:hAnsi="Univers Com 55" w:cs="Times New Roman"/>
      <w:b/>
      <w:bCs/>
      <w:color w:val="000000"/>
      <w:kern w:val="18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335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C6C31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6C31"/>
    <w:rPr>
      <w:rFonts w:ascii="Univers Com 55" w:eastAsia="Times" w:hAnsi="Univers Com 55" w:cs="Times New Roman"/>
      <w:color w:val="000000"/>
      <w:kern w:val="1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C6C31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6C31"/>
    <w:rPr>
      <w:rFonts w:ascii="Univers Com 55" w:eastAsia="Times" w:hAnsi="Univers Com 55" w:cs="Times New Roman"/>
      <w:color w:val="000000"/>
      <w:kern w:val="18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FF05AA"/>
    <w:rPr>
      <w:b/>
      <w:bCs/>
    </w:rPr>
  </w:style>
  <w:style w:type="character" w:styleId="Odkazintenzivn">
    <w:name w:val="Intense Reference"/>
    <w:basedOn w:val="Standardnpsmoodstavce"/>
    <w:uiPriority w:val="32"/>
    <w:qFormat/>
    <w:rsid w:val="009259E2"/>
    <w:rPr>
      <w:b/>
      <w:bCs/>
      <w:smallCaps/>
      <w:color w:val="C0504D" w:themeColor="accent2"/>
      <w:spacing w:val="5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9259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D7663"/>
    <w:rPr>
      <w:rFonts w:asciiTheme="majorHAnsi" w:eastAsiaTheme="majorEastAsia" w:hAnsiTheme="majorHAnsi" w:cstheme="majorBidi"/>
      <w:b/>
      <w:bCs/>
      <w:color w:val="4F81BD" w:themeColor="accent1"/>
      <w:kern w:val="18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0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1182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Pejsova</dc:creator>
  <cp:lastModifiedBy>Petra Pejsova</cp:lastModifiedBy>
  <cp:revision>2</cp:revision>
  <dcterms:created xsi:type="dcterms:W3CDTF">2014-12-05T12:33:00Z</dcterms:created>
  <dcterms:modified xsi:type="dcterms:W3CDTF">2014-12-05T12:33:00Z</dcterms:modified>
</cp:coreProperties>
</file>